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250C" w14:textId="68DA83F7" w:rsidR="008177BA" w:rsidRPr="00A52AD1" w:rsidRDefault="00735213" w:rsidP="008177BA">
      <w:pPr>
        <w:ind w:right="0"/>
        <w:jc w:val="center"/>
        <w:rPr>
          <w:rFonts w:ascii="Arial" w:eastAsia="Calibri" w:hAnsi="Arial" w:cs="Arial"/>
          <w:b/>
          <w:bCs/>
          <w:spacing w:val="-1"/>
          <w:sz w:val="20"/>
          <w:szCs w:val="20"/>
        </w:rPr>
      </w:pPr>
      <w:r w:rsidRPr="00A52AD1">
        <w:rPr>
          <w:rFonts w:ascii="Arial" w:eastAsia="Calibri" w:hAnsi="Arial" w:cs="Arial"/>
          <w:b/>
          <w:bCs/>
          <w:noProof/>
          <w:spacing w:val="-1"/>
          <w:sz w:val="20"/>
          <w:szCs w:val="20"/>
        </w:rPr>
        <w:drawing>
          <wp:inline distT="0" distB="0" distL="0" distR="0" wp14:anchorId="22058EDF" wp14:editId="18A60D22">
            <wp:extent cx="3048006" cy="938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635B7A3C" w14:textId="422938EF" w:rsidR="008177BA" w:rsidRPr="00A52AD1" w:rsidRDefault="00127C1F" w:rsidP="008177BA">
      <w:pPr>
        <w:ind w:right="0"/>
        <w:jc w:val="center"/>
        <w:rPr>
          <w:rFonts w:ascii="Arial" w:eastAsia="Calibri" w:hAnsi="Arial" w:cs="Arial"/>
          <w:b/>
          <w:bCs/>
          <w:spacing w:val="-1"/>
          <w:sz w:val="24"/>
          <w:szCs w:val="24"/>
        </w:rPr>
      </w:pPr>
      <w:r w:rsidRPr="00A52AD1">
        <w:rPr>
          <w:rFonts w:ascii="Arial" w:eastAsia="Calibri" w:hAnsi="Arial" w:cs="Arial"/>
          <w:b/>
          <w:bCs/>
          <w:spacing w:val="-1"/>
          <w:sz w:val="24"/>
          <w:szCs w:val="24"/>
        </w:rPr>
        <w:t>202</w:t>
      </w:r>
      <w:r w:rsidR="00AF6AF8" w:rsidRPr="00A52AD1">
        <w:rPr>
          <w:rFonts w:ascii="Arial" w:eastAsia="Calibri" w:hAnsi="Arial" w:cs="Arial"/>
          <w:b/>
          <w:bCs/>
          <w:spacing w:val="-1"/>
          <w:sz w:val="24"/>
          <w:szCs w:val="24"/>
        </w:rPr>
        <w:t>2</w:t>
      </w:r>
      <w:r w:rsidRPr="00A52AD1">
        <w:rPr>
          <w:rFonts w:ascii="Arial" w:eastAsia="Calibri" w:hAnsi="Arial" w:cs="Arial"/>
          <w:b/>
          <w:bCs/>
          <w:spacing w:val="-1"/>
          <w:sz w:val="24"/>
          <w:szCs w:val="24"/>
        </w:rPr>
        <w:t xml:space="preserve"> ANNUAL</w:t>
      </w:r>
      <w:r w:rsidR="008177BA" w:rsidRPr="00A52AD1">
        <w:rPr>
          <w:rFonts w:ascii="Arial" w:eastAsia="Calibri" w:hAnsi="Arial" w:cs="Arial"/>
          <w:b/>
          <w:bCs/>
          <w:spacing w:val="-1"/>
          <w:sz w:val="24"/>
          <w:szCs w:val="24"/>
        </w:rPr>
        <w:t xml:space="preserve"> REPORT</w:t>
      </w:r>
    </w:p>
    <w:p w14:paraId="476D3673" w14:textId="77777777" w:rsidR="008177BA" w:rsidRPr="00A52AD1" w:rsidRDefault="008177BA" w:rsidP="00E85724">
      <w:pPr>
        <w:ind w:right="0"/>
        <w:rPr>
          <w:rFonts w:ascii="Arial" w:eastAsia="Calibri" w:hAnsi="Arial" w:cs="Arial"/>
          <w:b/>
          <w:bCs/>
          <w:i/>
          <w:iCs/>
          <w:spacing w:val="-1"/>
          <w:sz w:val="20"/>
          <w:szCs w:val="20"/>
        </w:rPr>
      </w:pPr>
    </w:p>
    <w:p w14:paraId="341AC5C8" w14:textId="24941F45" w:rsidR="008177BA" w:rsidRPr="00A52AD1" w:rsidRDefault="008177BA" w:rsidP="00C049AA">
      <w:pPr>
        <w:tabs>
          <w:tab w:val="left" w:pos="5595"/>
        </w:tabs>
        <w:ind w:right="-50"/>
        <w:rPr>
          <w:rFonts w:ascii="Arial" w:eastAsia="Calibri" w:hAnsi="Arial" w:cs="Arial"/>
          <w:b/>
          <w:bCs/>
          <w:spacing w:val="-1"/>
          <w:sz w:val="20"/>
          <w:szCs w:val="20"/>
        </w:rPr>
      </w:pPr>
      <w:r w:rsidRPr="00A52AD1">
        <w:rPr>
          <w:rFonts w:ascii="Arial" w:eastAsia="Calibri" w:hAnsi="Arial" w:cs="Arial"/>
          <w:b/>
          <w:bCs/>
          <w:spacing w:val="-1"/>
          <w:sz w:val="20"/>
          <w:szCs w:val="20"/>
        </w:rPr>
        <w:t>Board</w:t>
      </w:r>
      <w:r w:rsidR="00127C1F" w:rsidRPr="00A52AD1">
        <w:rPr>
          <w:rFonts w:ascii="Arial" w:eastAsia="Calibri" w:hAnsi="Arial" w:cs="Arial"/>
          <w:b/>
          <w:bCs/>
          <w:spacing w:val="-1"/>
          <w:sz w:val="20"/>
          <w:szCs w:val="20"/>
        </w:rPr>
        <w:t>/Committee/SIG Position</w:t>
      </w:r>
      <w:r w:rsidRPr="00A52AD1">
        <w:rPr>
          <w:rFonts w:ascii="Arial" w:eastAsia="Calibri" w:hAnsi="Arial" w:cs="Arial"/>
          <w:b/>
          <w:bCs/>
          <w:spacing w:val="-1"/>
          <w:sz w:val="20"/>
          <w:szCs w:val="20"/>
        </w:rPr>
        <w:t>:</w:t>
      </w:r>
      <w:r w:rsidR="00127C1F" w:rsidRPr="00A52AD1">
        <w:rPr>
          <w:rFonts w:ascii="Arial" w:eastAsia="Calibri" w:hAnsi="Arial" w:cs="Arial"/>
          <w:b/>
          <w:bCs/>
          <w:spacing w:val="-1"/>
          <w:sz w:val="20"/>
          <w:szCs w:val="20"/>
        </w:rPr>
        <w:t xml:space="preserve"> </w:t>
      </w:r>
      <w:r w:rsidR="00A31560" w:rsidRPr="00A52AD1">
        <w:rPr>
          <w:rFonts w:ascii="Arial" w:eastAsia="Calibri" w:hAnsi="Arial" w:cs="Arial"/>
          <w:b/>
          <w:bCs/>
          <w:spacing w:val="-1"/>
          <w:sz w:val="20"/>
          <w:szCs w:val="20"/>
        </w:rPr>
        <w:t>State Legislative Committee</w:t>
      </w:r>
      <w:r w:rsidR="00C049AA" w:rsidRPr="00A52AD1">
        <w:rPr>
          <w:rFonts w:ascii="Arial" w:eastAsia="Calibri" w:hAnsi="Arial" w:cs="Arial"/>
          <w:b/>
          <w:bCs/>
          <w:spacing w:val="-1"/>
          <w:sz w:val="20"/>
          <w:szCs w:val="20"/>
        </w:rPr>
        <w:t xml:space="preserve"> (SLC)</w:t>
      </w:r>
      <w:r w:rsidR="00C049AA" w:rsidRPr="00A52AD1">
        <w:rPr>
          <w:rFonts w:ascii="Arial" w:eastAsia="Calibri" w:hAnsi="Arial" w:cs="Arial"/>
          <w:b/>
          <w:bCs/>
          <w:spacing w:val="-1"/>
          <w:sz w:val="20"/>
          <w:szCs w:val="20"/>
        </w:rPr>
        <w:tab/>
      </w:r>
    </w:p>
    <w:p w14:paraId="02224D78" w14:textId="77777777" w:rsidR="00A943E7" w:rsidRPr="00A52AD1" w:rsidRDefault="00A943E7" w:rsidP="00793BF7">
      <w:pPr>
        <w:tabs>
          <w:tab w:val="left" w:pos="7060"/>
          <w:tab w:val="left" w:pos="9500"/>
        </w:tabs>
        <w:ind w:right="-50"/>
        <w:rPr>
          <w:rFonts w:ascii="Arial" w:eastAsia="Calibri" w:hAnsi="Arial" w:cs="Arial"/>
          <w:b/>
          <w:bCs/>
          <w:spacing w:val="-1"/>
          <w:sz w:val="20"/>
          <w:szCs w:val="20"/>
        </w:rPr>
      </w:pPr>
    </w:p>
    <w:p w14:paraId="4255C6E3" w14:textId="22B53093" w:rsidR="00127C1F" w:rsidRPr="00A52AD1" w:rsidRDefault="00127C1F" w:rsidP="00793BF7">
      <w:pPr>
        <w:tabs>
          <w:tab w:val="left" w:pos="7060"/>
          <w:tab w:val="left" w:pos="9500"/>
        </w:tabs>
        <w:ind w:right="-50"/>
        <w:rPr>
          <w:rFonts w:ascii="Arial" w:eastAsia="Calibri" w:hAnsi="Arial" w:cs="Arial"/>
          <w:b/>
          <w:bCs/>
          <w:spacing w:val="-1"/>
          <w:sz w:val="20"/>
          <w:szCs w:val="20"/>
        </w:rPr>
      </w:pPr>
      <w:r w:rsidRPr="00A52AD1">
        <w:rPr>
          <w:rFonts w:ascii="Arial" w:eastAsia="Calibri" w:hAnsi="Arial" w:cs="Arial"/>
          <w:b/>
          <w:bCs/>
          <w:spacing w:val="-1"/>
          <w:sz w:val="20"/>
          <w:szCs w:val="20"/>
        </w:rPr>
        <w:t>Name:</w:t>
      </w:r>
      <w:r w:rsidR="0009026F" w:rsidRPr="00A52AD1">
        <w:rPr>
          <w:rFonts w:ascii="Arial" w:eastAsia="Calibri" w:hAnsi="Arial" w:cs="Arial"/>
          <w:b/>
          <w:bCs/>
          <w:spacing w:val="-1"/>
          <w:sz w:val="20"/>
          <w:szCs w:val="20"/>
        </w:rPr>
        <w:t xml:space="preserve"> </w:t>
      </w:r>
      <w:r w:rsidR="00C049AA" w:rsidRPr="00A52AD1">
        <w:rPr>
          <w:rFonts w:ascii="Arial" w:eastAsia="Calibri" w:hAnsi="Arial" w:cs="Arial"/>
          <w:b/>
          <w:bCs/>
          <w:spacing w:val="-1"/>
          <w:sz w:val="20"/>
          <w:szCs w:val="20"/>
        </w:rPr>
        <w:t>Valerie Strunk, SLC Chair</w:t>
      </w:r>
    </w:p>
    <w:p w14:paraId="782CD2BC" w14:textId="77777777" w:rsidR="00E10F73" w:rsidRPr="00A52AD1" w:rsidRDefault="00E10F73" w:rsidP="004F7153">
      <w:pPr>
        <w:tabs>
          <w:tab w:val="left" w:pos="7060"/>
          <w:tab w:val="left" w:pos="9500"/>
        </w:tabs>
        <w:ind w:right="-50"/>
        <w:rPr>
          <w:rFonts w:ascii="Arial" w:eastAsia="Calibri" w:hAnsi="Arial" w:cs="Arial"/>
          <w:i/>
          <w:iCs/>
          <w:sz w:val="20"/>
          <w:szCs w:val="20"/>
        </w:rPr>
      </w:pPr>
    </w:p>
    <w:tbl>
      <w:tblPr>
        <w:tblStyle w:val="TableGrid"/>
        <w:tblW w:w="0" w:type="auto"/>
        <w:tblInd w:w="-95" w:type="dxa"/>
        <w:tblLook w:val="04A0" w:firstRow="1" w:lastRow="0" w:firstColumn="1" w:lastColumn="0" w:noHBand="0" w:noVBand="1"/>
      </w:tblPr>
      <w:tblGrid>
        <w:gridCol w:w="3960"/>
        <w:gridCol w:w="6155"/>
      </w:tblGrid>
      <w:tr w:rsidR="00E10F73" w:rsidRPr="00A52AD1" w14:paraId="328AC445" w14:textId="77777777" w:rsidTr="006D5EB2">
        <w:trPr>
          <w:trHeight w:val="398"/>
        </w:trPr>
        <w:tc>
          <w:tcPr>
            <w:tcW w:w="10115" w:type="dxa"/>
            <w:gridSpan w:val="2"/>
            <w:shd w:val="clear" w:color="auto" w:fill="EEECE1" w:themeFill="background2"/>
            <w:vAlign w:val="center"/>
          </w:tcPr>
          <w:p w14:paraId="6A9D6078" w14:textId="0C3B0AFD" w:rsidR="00E10F73" w:rsidRPr="00A52AD1" w:rsidRDefault="00735213" w:rsidP="008177BA">
            <w:pPr>
              <w:tabs>
                <w:tab w:val="left" w:pos="7060"/>
                <w:tab w:val="left" w:pos="9500"/>
              </w:tabs>
              <w:jc w:val="center"/>
              <w:rPr>
                <w:rFonts w:ascii="Arial" w:eastAsia="Calibri" w:hAnsi="Arial" w:cs="Arial"/>
                <w:b/>
                <w:sz w:val="20"/>
                <w:szCs w:val="20"/>
              </w:rPr>
            </w:pPr>
            <w:r w:rsidRPr="00A52AD1">
              <w:rPr>
                <w:rFonts w:ascii="Arial" w:eastAsia="Calibri" w:hAnsi="Arial" w:cs="Arial"/>
                <w:b/>
                <w:sz w:val="20"/>
                <w:szCs w:val="20"/>
              </w:rPr>
              <w:t>APTA INDIANA</w:t>
            </w:r>
            <w:r w:rsidR="008177BA" w:rsidRPr="00A52AD1">
              <w:rPr>
                <w:rFonts w:ascii="Arial" w:eastAsia="Calibri" w:hAnsi="Arial" w:cs="Arial"/>
                <w:b/>
                <w:sz w:val="20"/>
                <w:szCs w:val="20"/>
              </w:rPr>
              <w:t xml:space="preserve"> STR</w:t>
            </w:r>
            <w:r w:rsidR="00C9621D" w:rsidRPr="00A52AD1">
              <w:rPr>
                <w:rFonts w:ascii="Arial" w:eastAsia="Calibri" w:hAnsi="Arial" w:cs="Arial"/>
                <w:b/>
                <w:sz w:val="20"/>
                <w:szCs w:val="20"/>
              </w:rPr>
              <w:t>AT</w:t>
            </w:r>
            <w:r w:rsidR="008177BA" w:rsidRPr="00A52AD1">
              <w:rPr>
                <w:rFonts w:ascii="Arial" w:eastAsia="Calibri" w:hAnsi="Arial" w:cs="Arial"/>
                <w:b/>
                <w:sz w:val="20"/>
                <w:szCs w:val="20"/>
              </w:rPr>
              <w:t>EGIC PLAN UPDATE FOR TRACKING SHEET</w:t>
            </w:r>
          </w:p>
        </w:tc>
      </w:tr>
      <w:tr w:rsidR="00E10F73" w:rsidRPr="00A52AD1" w14:paraId="7C2486EA" w14:textId="77777777" w:rsidTr="006D5EB2">
        <w:trPr>
          <w:trHeight w:val="458"/>
        </w:trPr>
        <w:tc>
          <w:tcPr>
            <w:tcW w:w="3960" w:type="dxa"/>
            <w:shd w:val="clear" w:color="auto" w:fill="EEECE1" w:themeFill="background2"/>
            <w:vAlign w:val="center"/>
          </w:tcPr>
          <w:p w14:paraId="10985B65" w14:textId="77777777" w:rsidR="00E10F73" w:rsidRPr="00A52AD1" w:rsidRDefault="008177BA" w:rsidP="008177BA">
            <w:pPr>
              <w:spacing w:line="267" w:lineRule="exact"/>
              <w:ind w:right="-50"/>
              <w:jc w:val="center"/>
              <w:rPr>
                <w:rFonts w:ascii="Arial" w:eastAsia="Calibri" w:hAnsi="Arial" w:cs="Arial"/>
                <w:sz w:val="20"/>
                <w:szCs w:val="20"/>
              </w:rPr>
            </w:pPr>
            <w:r w:rsidRPr="00A52AD1">
              <w:rPr>
                <w:rFonts w:ascii="Arial" w:eastAsia="Calibri" w:hAnsi="Arial" w:cs="Arial"/>
                <w:b/>
                <w:bCs/>
                <w:position w:val="1"/>
                <w:sz w:val="20"/>
                <w:szCs w:val="20"/>
              </w:rPr>
              <w:t>GOAL &amp; STRATEGY #</w:t>
            </w:r>
          </w:p>
        </w:tc>
        <w:tc>
          <w:tcPr>
            <w:tcW w:w="6155" w:type="dxa"/>
            <w:shd w:val="clear" w:color="auto" w:fill="EEECE1" w:themeFill="background2"/>
            <w:vAlign w:val="center"/>
          </w:tcPr>
          <w:p w14:paraId="3FF6DA61" w14:textId="77777777" w:rsidR="00E10F73" w:rsidRPr="00A52AD1" w:rsidRDefault="008177BA" w:rsidP="008177BA">
            <w:pPr>
              <w:tabs>
                <w:tab w:val="left" w:pos="7060"/>
                <w:tab w:val="left" w:pos="9500"/>
              </w:tabs>
              <w:ind w:right="-50"/>
              <w:jc w:val="center"/>
              <w:rPr>
                <w:rFonts w:ascii="Arial" w:eastAsia="Calibri" w:hAnsi="Arial" w:cs="Arial"/>
                <w:sz w:val="20"/>
                <w:szCs w:val="20"/>
              </w:rPr>
            </w:pPr>
            <w:r w:rsidRPr="00A52AD1">
              <w:rPr>
                <w:rFonts w:ascii="Arial" w:eastAsia="Calibri" w:hAnsi="Arial" w:cs="Arial"/>
                <w:b/>
                <w:bCs/>
                <w:spacing w:val="-1"/>
                <w:position w:val="1"/>
                <w:sz w:val="20"/>
                <w:szCs w:val="20"/>
              </w:rPr>
              <w:t>UPDATE</w:t>
            </w:r>
          </w:p>
        </w:tc>
      </w:tr>
      <w:tr w:rsidR="00E10F73" w:rsidRPr="00A52AD1" w14:paraId="37836E8A" w14:textId="77777777" w:rsidTr="006D5EB2">
        <w:trPr>
          <w:trHeight w:val="407"/>
        </w:trPr>
        <w:tc>
          <w:tcPr>
            <w:tcW w:w="3960" w:type="dxa"/>
          </w:tcPr>
          <w:p w14:paraId="2058AA62" w14:textId="4C1DED53" w:rsidR="00E10F73" w:rsidRPr="00A52AD1" w:rsidRDefault="00A31560" w:rsidP="004F7153">
            <w:pPr>
              <w:tabs>
                <w:tab w:val="left" w:pos="7060"/>
                <w:tab w:val="left" w:pos="9500"/>
              </w:tabs>
              <w:ind w:right="-50"/>
              <w:rPr>
                <w:rFonts w:ascii="Arial" w:eastAsia="Calibri" w:hAnsi="Arial" w:cs="Arial"/>
                <w:sz w:val="20"/>
                <w:szCs w:val="20"/>
              </w:rPr>
            </w:pPr>
            <w:r w:rsidRPr="00A52AD1">
              <w:rPr>
                <w:rFonts w:ascii="Arial" w:eastAsia="Calibri" w:hAnsi="Arial" w:cs="Arial"/>
                <w:sz w:val="20"/>
                <w:szCs w:val="20"/>
              </w:rPr>
              <w:t>Goal 2, Objective #1, Strategies #1 and #2.</w:t>
            </w:r>
          </w:p>
        </w:tc>
        <w:tc>
          <w:tcPr>
            <w:tcW w:w="6155" w:type="dxa"/>
          </w:tcPr>
          <w:p w14:paraId="048D3052" w14:textId="25A5E35D" w:rsidR="00E10F73" w:rsidRPr="00A52AD1" w:rsidRDefault="00A31560" w:rsidP="004F7153">
            <w:pPr>
              <w:tabs>
                <w:tab w:val="left" w:pos="7060"/>
                <w:tab w:val="left" w:pos="9500"/>
              </w:tabs>
              <w:ind w:right="-50"/>
              <w:rPr>
                <w:rFonts w:ascii="Arial" w:eastAsia="Calibri" w:hAnsi="Arial" w:cs="Arial"/>
                <w:sz w:val="20"/>
                <w:szCs w:val="20"/>
              </w:rPr>
            </w:pPr>
            <w:r w:rsidRPr="00A52AD1">
              <w:rPr>
                <w:rFonts w:ascii="Arial" w:eastAsia="Calibri" w:hAnsi="Arial" w:cs="Arial"/>
                <w:sz w:val="20"/>
                <w:szCs w:val="20"/>
              </w:rPr>
              <w:t>PT and PTA telehealth services were successfully added to legislation that was passed in 2022.</w:t>
            </w:r>
          </w:p>
        </w:tc>
      </w:tr>
      <w:tr w:rsidR="00E10F73" w:rsidRPr="00A52AD1" w14:paraId="1038D161" w14:textId="77777777" w:rsidTr="006D5EB2">
        <w:trPr>
          <w:trHeight w:val="377"/>
        </w:trPr>
        <w:tc>
          <w:tcPr>
            <w:tcW w:w="3960" w:type="dxa"/>
          </w:tcPr>
          <w:p w14:paraId="4834792D" w14:textId="5521D8FD" w:rsidR="00E10F73" w:rsidRPr="00A52AD1" w:rsidRDefault="00A31560" w:rsidP="004F7153">
            <w:pPr>
              <w:tabs>
                <w:tab w:val="left" w:pos="7060"/>
                <w:tab w:val="left" w:pos="9500"/>
              </w:tabs>
              <w:ind w:right="-50"/>
              <w:rPr>
                <w:rFonts w:ascii="Arial" w:eastAsia="Calibri" w:hAnsi="Arial" w:cs="Arial"/>
                <w:sz w:val="20"/>
                <w:szCs w:val="20"/>
              </w:rPr>
            </w:pPr>
            <w:r w:rsidRPr="00A52AD1">
              <w:rPr>
                <w:rFonts w:ascii="Arial" w:eastAsia="Calibri" w:hAnsi="Arial" w:cs="Arial"/>
                <w:sz w:val="20"/>
                <w:szCs w:val="20"/>
              </w:rPr>
              <w:t>Goal 2, Objective #2, Strategies #1 and #2</w:t>
            </w:r>
          </w:p>
        </w:tc>
        <w:tc>
          <w:tcPr>
            <w:tcW w:w="6155" w:type="dxa"/>
          </w:tcPr>
          <w:p w14:paraId="20199368" w14:textId="0361A0D4" w:rsidR="00E10F73" w:rsidRPr="00A52AD1" w:rsidRDefault="00A31560" w:rsidP="004F7153">
            <w:pPr>
              <w:tabs>
                <w:tab w:val="left" w:pos="7060"/>
                <w:tab w:val="left" w:pos="9500"/>
              </w:tabs>
              <w:ind w:right="-50"/>
              <w:rPr>
                <w:rFonts w:ascii="Arial" w:eastAsia="Calibri" w:hAnsi="Arial" w:cs="Arial"/>
                <w:sz w:val="20"/>
                <w:szCs w:val="20"/>
              </w:rPr>
            </w:pPr>
            <w:r w:rsidRPr="00A52AD1">
              <w:rPr>
                <w:rFonts w:ascii="Arial" w:eastAsia="Calibri" w:hAnsi="Arial" w:cs="Arial"/>
                <w:sz w:val="20"/>
                <w:szCs w:val="20"/>
              </w:rPr>
              <w:t xml:space="preserve">Indiana Membership in the PT Compact was successfully passed during the 2021 legislative session. In 2022, the PLA has been working with the PT Compact Administrators to commence use of the PT Compact in Indiana. </w:t>
            </w:r>
            <w:r w:rsidR="00470E13" w:rsidRPr="00A52AD1">
              <w:rPr>
                <w:rFonts w:ascii="Arial" w:eastAsia="Calibri" w:hAnsi="Arial" w:cs="Arial"/>
                <w:sz w:val="20"/>
                <w:szCs w:val="20"/>
              </w:rPr>
              <w:t>A date for that is still pending action by the PLA/Board.</w:t>
            </w:r>
          </w:p>
        </w:tc>
      </w:tr>
      <w:tr w:rsidR="00A943E7" w:rsidRPr="00A52AD1" w14:paraId="0124B697" w14:textId="77777777" w:rsidTr="006D5EB2">
        <w:trPr>
          <w:trHeight w:val="353"/>
        </w:trPr>
        <w:tc>
          <w:tcPr>
            <w:tcW w:w="3960" w:type="dxa"/>
          </w:tcPr>
          <w:p w14:paraId="6EC52C7C" w14:textId="08974C28" w:rsidR="00A943E7" w:rsidRPr="00A52AD1" w:rsidRDefault="00470E13" w:rsidP="004F7153">
            <w:pPr>
              <w:tabs>
                <w:tab w:val="left" w:pos="7060"/>
                <w:tab w:val="left" w:pos="9500"/>
              </w:tabs>
              <w:ind w:right="-50"/>
              <w:rPr>
                <w:rFonts w:ascii="Arial" w:eastAsia="Calibri" w:hAnsi="Arial" w:cs="Arial"/>
                <w:sz w:val="20"/>
                <w:szCs w:val="20"/>
              </w:rPr>
            </w:pPr>
            <w:r w:rsidRPr="00A52AD1">
              <w:rPr>
                <w:rFonts w:ascii="Arial" w:eastAsia="Calibri" w:hAnsi="Arial" w:cs="Arial"/>
                <w:sz w:val="20"/>
                <w:szCs w:val="20"/>
              </w:rPr>
              <w:t>Goal 2, Objective #3, Strategy #1</w:t>
            </w:r>
          </w:p>
        </w:tc>
        <w:tc>
          <w:tcPr>
            <w:tcW w:w="6155" w:type="dxa"/>
          </w:tcPr>
          <w:p w14:paraId="1D487E5F" w14:textId="01CB7C2C" w:rsidR="00A943E7" w:rsidRPr="00A52AD1" w:rsidRDefault="00470E13" w:rsidP="004F7153">
            <w:pPr>
              <w:tabs>
                <w:tab w:val="left" w:pos="7060"/>
                <w:tab w:val="left" w:pos="9500"/>
              </w:tabs>
              <w:ind w:right="-50"/>
              <w:rPr>
                <w:rFonts w:ascii="Arial" w:eastAsia="Calibri" w:hAnsi="Arial" w:cs="Arial"/>
                <w:sz w:val="20"/>
                <w:szCs w:val="20"/>
              </w:rPr>
            </w:pPr>
            <w:r w:rsidRPr="00A52AD1">
              <w:rPr>
                <w:rFonts w:ascii="Arial" w:eastAsia="Calibri" w:hAnsi="Arial" w:cs="Arial"/>
                <w:sz w:val="20"/>
                <w:szCs w:val="20"/>
              </w:rPr>
              <w:t>Practice and Payment have kept the SLC up to date on data and its analysis of payment practices related to telehealth. This is ongoing work that continues.</w:t>
            </w:r>
          </w:p>
        </w:tc>
      </w:tr>
      <w:tr w:rsidR="00470E13" w:rsidRPr="00A52AD1" w14:paraId="5AEA3DEF" w14:textId="77777777" w:rsidTr="006D5EB2">
        <w:trPr>
          <w:trHeight w:val="353"/>
        </w:trPr>
        <w:tc>
          <w:tcPr>
            <w:tcW w:w="3960" w:type="dxa"/>
          </w:tcPr>
          <w:p w14:paraId="682A883C" w14:textId="52830D36" w:rsidR="00470E13" w:rsidRPr="00A52AD1" w:rsidRDefault="00470E13" w:rsidP="004F7153">
            <w:pPr>
              <w:tabs>
                <w:tab w:val="left" w:pos="7060"/>
                <w:tab w:val="left" w:pos="9500"/>
              </w:tabs>
              <w:ind w:right="-50"/>
              <w:rPr>
                <w:rFonts w:ascii="Arial" w:eastAsia="Calibri" w:hAnsi="Arial" w:cs="Arial"/>
                <w:sz w:val="20"/>
                <w:szCs w:val="20"/>
              </w:rPr>
            </w:pPr>
            <w:r w:rsidRPr="00A52AD1">
              <w:rPr>
                <w:rFonts w:ascii="Arial" w:eastAsia="Calibri" w:hAnsi="Arial" w:cs="Arial"/>
                <w:sz w:val="20"/>
                <w:szCs w:val="20"/>
              </w:rPr>
              <w:t>Goal 2, Objective #4, Strategies #1, #3</w:t>
            </w:r>
          </w:p>
        </w:tc>
        <w:tc>
          <w:tcPr>
            <w:tcW w:w="6155" w:type="dxa"/>
          </w:tcPr>
          <w:p w14:paraId="42B95477" w14:textId="1F025161" w:rsidR="00470E13" w:rsidRPr="00A52AD1" w:rsidRDefault="00470E13" w:rsidP="004F7153">
            <w:pPr>
              <w:tabs>
                <w:tab w:val="left" w:pos="7060"/>
                <w:tab w:val="left" w:pos="9500"/>
              </w:tabs>
              <w:ind w:right="-50"/>
              <w:rPr>
                <w:rFonts w:ascii="Arial" w:eastAsia="Calibri" w:hAnsi="Arial" w:cs="Arial"/>
                <w:sz w:val="20"/>
                <w:szCs w:val="20"/>
              </w:rPr>
            </w:pPr>
            <w:r w:rsidRPr="00A52AD1">
              <w:rPr>
                <w:rFonts w:ascii="Arial" w:eastAsia="Calibri" w:hAnsi="Arial" w:cs="Arial"/>
                <w:sz w:val="20"/>
                <w:szCs w:val="20"/>
              </w:rPr>
              <w:t>The SLC Committee has realized that work done by the State Legislative and Practice and Payment Committees to forge relationships and coalitions with respect to payment barriers (which is a higher priority to our membership than is unrestricted direct access) should be prioritized, and that this work in building relationships will be beneficial to future work on unrestricted direct access. We plan to spend 2022-2023 working legislatively to impact payment issues, and then use that work to more efficiently work towards direct access legislation in the coming years by leveraging relationships built while working on payment issues. The relationships/stakeholder identification referenced in strategy #3 is work that is being done now.</w:t>
            </w:r>
          </w:p>
        </w:tc>
      </w:tr>
    </w:tbl>
    <w:p w14:paraId="48E4A039" w14:textId="77777777" w:rsidR="00E10F73" w:rsidRPr="00A52AD1" w:rsidRDefault="00E10F73" w:rsidP="00252C34">
      <w:pPr>
        <w:tabs>
          <w:tab w:val="left" w:pos="6120"/>
        </w:tabs>
        <w:rPr>
          <w:rFonts w:ascii="Arial" w:eastAsia="Calibri" w:hAnsi="Arial" w:cs="Arial"/>
          <w:i/>
          <w:iCs/>
          <w:sz w:val="20"/>
          <w:szCs w:val="20"/>
        </w:rPr>
      </w:pPr>
    </w:p>
    <w:p w14:paraId="05E37E42" w14:textId="77777777" w:rsidR="008177BA" w:rsidRPr="00A52AD1" w:rsidRDefault="008177BA" w:rsidP="008177BA">
      <w:pPr>
        <w:tabs>
          <w:tab w:val="left" w:pos="6120"/>
        </w:tabs>
        <w:jc w:val="center"/>
        <w:rPr>
          <w:rFonts w:ascii="Arial" w:eastAsia="Calibri" w:hAnsi="Arial" w:cs="Arial"/>
          <w:b/>
          <w:i/>
          <w:iCs/>
          <w:sz w:val="20"/>
          <w:szCs w:val="20"/>
        </w:rPr>
      </w:pPr>
      <w:r w:rsidRPr="00A52AD1">
        <w:rPr>
          <w:rFonts w:ascii="Arial" w:eastAsia="Calibri" w:hAnsi="Arial" w:cs="Arial"/>
          <w:b/>
          <w:i/>
          <w:iCs/>
          <w:sz w:val="20"/>
          <w:szCs w:val="20"/>
        </w:rPr>
        <w:t>INCLUDE ADDITIONAL INFORMATION NOT RELATED TO THE STRATEGIC PLAN HERE</w:t>
      </w:r>
    </w:p>
    <w:p w14:paraId="483C53C9" w14:textId="77777777" w:rsidR="001178EC" w:rsidRPr="00A52AD1" w:rsidRDefault="001178EC" w:rsidP="001178EC">
      <w:pPr>
        <w:tabs>
          <w:tab w:val="left" w:pos="6120"/>
        </w:tabs>
        <w:rPr>
          <w:rFonts w:ascii="Arial" w:hAnsi="Arial" w:cs="Arial"/>
          <w:b/>
          <w:bCs/>
          <w:sz w:val="20"/>
          <w:szCs w:val="20"/>
        </w:rPr>
      </w:pPr>
    </w:p>
    <w:p w14:paraId="277429A8" w14:textId="5CAD2211" w:rsidR="008177BA" w:rsidRPr="00A52AD1" w:rsidRDefault="00C049AA" w:rsidP="008177BA">
      <w:pPr>
        <w:tabs>
          <w:tab w:val="left" w:pos="1380"/>
        </w:tabs>
        <w:rPr>
          <w:rFonts w:ascii="Arial" w:hAnsi="Arial" w:cs="Arial"/>
          <w:sz w:val="20"/>
          <w:szCs w:val="20"/>
        </w:rPr>
      </w:pPr>
      <w:r w:rsidRPr="00A52AD1">
        <w:rPr>
          <w:rFonts w:ascii="Arial" w:hAnsi="Arial" w:cs="Arial"/>
          <w:sz w:val="20"/>
          <w:szCs w:val="20"/>
        </w:rPr>
        <w:t xml:space="preserve">This year, the SLC was successful in the 2022 Legislative Session in adding </w:t>
      </w:r>
      <w:r w:rsidR="00552E0A" w:rsidRPr="00A52AD1">
        <w:rPr>
          <w:rFonts w:ascii="Arial" w:hAnsi="Arial" w:cs="Arial"/>
          <w:sz w:val="20"/>
          <w:szCs w:val="20"/>
        </w:rPr>
        <w:t xml:space="preserve">PTAs as a permissible group to provide Telehealth Services with the passage of SB 284. </w:t>
      </w:r>
    </w:p>
    <w:p w14:paraId="7900CB53" w14:textId="2E853799" w:rsidR="00552E0A" w:rsidRPr="00A52AD1" w:rsidRDefault="00552E0A" w:rsidP="008177BA">
      <w:pPr>
        <w:tabs>
          <w:tab w:val="left" w:pos="1380"/>
        </w:tabs>
        <w:rPr>
          <w:rFonts w:ascii="Arial" w:hAnsi="Arial" w:cs="Arial"/>
          <w:sz w:val="20"/>
          <w:szCs w:val="20"/>
        </w:rPr>
      </w:pPr>
    </w:p>
    <w:p w14:paraId="47B2B994" w14:textId="5958239B" w:rsidR="00552E0A" w:rsidRPr="00A52AD1" w:rsidRDefault="00552E0A" w:rsidP="008177BA">
      <w:pPr>
        <w:tabs>
          <w:tab w:val="left" w:pos="1380"/>
        </w:tabs>
        <w:rPr>
          <w:rFonts w:ascii="Arial" w:hAnsi="Arial" w:cs="Arial"/>
          <w:sz w:val="20"/>
          <w:szCs w:val="20"/>
        </w:rPr>
      </w:pPr>
      <w:r w:rsidRPr="00A52AD1">
        <w:rPr>
          <w:rFonts w:ascii="Arial" w:hAnsi="Arial" w:cs="Arial"/>
          <w:sz w:val="20"/>
          <w:szCs w:val="20"/>
        </w:rPr>
        <w:t xml:space="preserve">Through the Summer and into the Fall, the SLC has changed leadership with Valerie Strunk stepping into the Chair position, and Emily Slaven staying on as a member of the Committee. The Committee has been working closely with the Practice and Payment Committee Chair, Andrea Lausch, to understand the parameters of payment barriers in the state of Indiana through her data gathering and analysis to help define the issues more clearly. SLC leadership attended the first annual Healthcare Workforce Summit in August, 2022, with the goal of making connections with other professional stakeholders to find consensus on workforce issues, including practice and payment, which will contribute to legislative advocacy success in the coming months and years. </w:t>
      </w:r>
    </w:p>
    <w:p w14:paraId="255AE60C" w14:textId="2B38340D" w:rsidR="00552E0A" w:rsidRPr="00A52AD1" w:rsidRDefault="00552E0A" w:rsidP="008177BA">
      <w:pPr>
        <w:tabs>
          <w:tab w:val="left" w:pos="1380"/>
        </w:tabs>
        <w:rPr>
          <w:rFonts w:ascii="Arial" w:hAnsi="Arial" w:cs="Arial"/>
          <w:sz w:val="20"/>
          <w:szCs w:val="20"/>
        </w:rPr>
      </w:pPr>
    </w:p>
    <w:p w14:paraId="26319A76" w14:textId="302CA9D8" w:rsidR="00552E0A" w:rsidRPr="00A52AD1" w:rsidRDefault="00552E0A" w:rsidP="008177BA">
      <w:pPr>
        <w:tabs>
          <w:tab w:val="left" w:pos="1380"/>
        </w:tabs>
        <w:rPr>
          <w:rFonts w:ascii="Arial" w:hAnsi="Arial" w:cs="Arial"/>
          <w:sz w:val="20"/>
          <w:szCs w:val="20"/>
        </w:rPr>
      </w:pPr>
      <w:r w:rsidRPr="00A52AD1">
        <w:rPr>
          <w:rFonts w:ascii="Arial" w:hAnsi="Arial" w:cs="Arial"/>
          <w:sz w:val="20"/>
          <w:szCs w:val="20"/>
        </w:rPr>
        <w:t>This summer and fall, the SLC also continues to guide and support several members’ efforts to ask the PLA to weigh in on a PT Scope of Practice Question which would allow for PTs to sit for a Certified Medical Examiners Course and Certification</w:t>
      </w:r>
      <w:r w:rsidR="004056AE" w:rsidRPr="00A52AD1">
        <w:rPr>
          <w:rFonts w:ascii="Arial" w:hAnsi="Arial" w:cs="Arial"/>
          <w:sz w:val="20"/>
          <w:szCs w:val="20"/>
        </w:rPr>
        <w:t xml:space="preserve"> to become approved DOT assessment providers</w:t>
      </w:r>
      <w:r w:rsidRPr="00A52AD1">
        <w:rPr>
          <w:rFonts w:ascii="Arial" w:hAnsi="Arial" w:cs="Arial"/>
          <w:sz w:val="20"/>
          <w:szCs w:val="20"/>
        </w:rPr>
        <w:t xml:space="preserve">. Currently, the PLA has a policy of not weighing in on scope of practice questions, and the committee </w:t>
      </w:r>
      <w:r w:rsidR="004056AE" w:rsidRPr="00A52AD1">
        <w:rPr>
          <w:rFonts w:ascii="Arial" w:hAnsi="Arial" w:cs="Arial"/>
          <w:sz w:val="20"/>
          <w:szCs w:val="20"/>
        </w:rPr>
        <w:t>has been</w:t>
      </w:r>
      <w:r w:rsidRPr="00A52AD1">
        <w:rPr>
          <w:rFonts w:ascii="Arial" w:hAnsi="Arial" w:cs="Arial"/>
          <w:sz w:val="20"/>
          <w:szCs w:val="20"/>
        </w:rPr>
        <w:t xml:space="preserve"> assisting the members in reaching out to</w:t>
      </w:r>
      <w:r w:rsidR="004056AE" w:rsidRPr="00A52AD1">
        <w:rPr>
          <w:rFonts w:ascii="Arial" w:hAnsi="Arial" w:cs="Arial"/>
          <w:sz w:val="20"/>
          <w:szCs w:val="20"/>
        </w:rPr>
        <w:t xml:space="preserve"> their</w:t>
      </w:r>
      <w:r w:rsidRPr="00A52AD1">
        <w:rPr>
          <w:rFonts w:ascii="Arial" w:hAnsi="Arial" w:cs="Arial"/>
          <w:sz w:val="20"/>
          <w:szCs w:val="20"/>
        </w:rPr>
        <w:t xml:space="preserve"> legislators </w:t>
      </w:r>
      <w:r w:rsidR="004056AE" w:rsidRPr="00A52AD1">
        <w:rPr>
          <w:rFonts w:ascii="Arial" w:hAnsi="Arial" w:cs="Arial"/>
          <w:sz w:val="20"/>
          <w:szCs w:val="20"/>
        </w:rPr>
        <w:t>to clarify this PLA practice and the barriers created by this PLA policy. This effort is ongoing.</w:t>
      </w:r>
    </w:p>
    <w:sectPr w:rsidR="00552E0A" w:rsidRPr="00A52AD1" w:rsidSect="004F7153">
      <w:type w:val="continuous"/>
      <w:pgSz w:w="12240" w:h="15840"/>
      <w:pgMar w:top="960" w:right="99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C83E" w14:textId="77777777" w:rsidR="006069C5" w:rsidRDefault="006069C5" w:rsidP="00A80DAA">
      <w:r>
        <w:separator/>
      </w:r>
    </w:p>
  </w:endnote>
  <w:endnote w:type="continuationSeparator" w:id="0">
    <w:p w14:paraId="2D03C5AA" w14:textId="77777777" w:rsidR="006069C5" w:rsidRDefault="006069C5" w:rsidP="00A8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9529" w14:textId="77777777" w:rsidR="006069C5" w:rsidRDefault="006069C5" w:rsidP="00A80DAA">
      <w:r>
        <w:separator/>
      </w:r>
    </w:p>
  </w:footnote>
  <w:footnote w:type="continuationSeparator" w:id="0">
    <w:p w14:paraId="07330B01" w14:textId="77777777" w:rsidR="006069C5" w:rsidRDefault="006069C5" w:rsidP="00A8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43EA3"/>
    <w:multiLevelType w:val="hybridMultilevel"/>
    <w:tmpl w:val="5C940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C79463B"/>
    <w:multiLevelType w:val="hybridMultilevel"/>
    <w:tmpl w:val="E5BE6D60"/>
    <w:lvl w:ilvl="0" w:tplc="4AF86FA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72299A"/>
    <w:multiLevelType w:val="hybridMultilevel"/>
    <w:tmpl w:val="AD9E2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016F2"/>
    <w:multiLevelType w:val="hybridMultilevel"/>
    <w:tmpl w:val="D44A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E31FF"/>
    <w:multiLevelType w:val="hybridMultilevel"/>
    <w:tmpl w:val="E7B246CC"/>
    <w:lvl w:ilvl="0" w:tplc="10A62A44">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B419A6"/>
    <w:multiLevelType w:val="hybridMultilevel"/>
    <w:tmpl w:val="86BEB550"/>
    <w:lvl w:ilvl="0" w:tplc="FC6A2EC4">
      <w:start w:val="20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1744069">
    <w:abstractNumId w:val="0"/>
  </w:num>
  <w:num w:numId="2" w16cid:durableId="501968759">
    <w:abstractNumId w:val="3"/>
  </w:num>
  <w:num w:numId="3" w16cid:durableId="1024752427">
    <w:abstractNumId w:val="2"/>
  </w:num>
  <w:num w:numId="4" w16cid:durableId="434716576">
    <w:abstractNumId w:val="5"/>
  </w:num>
  <w:num w:numId="5" w16cid:durableId="219755328">
    <w:abstractNumId w:val="4"/>
  </w:num>
  <w:num w:numId="6" w16cid:durableId="1591545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FF"/>
    <w:rsid w:val="000045E3"/>
    <w:rsid w:val="00030837"/>
    <w:rsid w:val="0009026F"/>
    <w:rsid w:val="00110205"/>
    <w:rsid w:val="001178EC"/>
    <w:rsid w:val="00127C1F"/>
    <w:rsid w:val="001C2284"/>
    <w:rsid w:val="002130D9"/>
    <w:rsid w:val="00221260"/>
    <w:rsid w:val="00252C34"/>
    <w:rsid w:val="00305151"/>
    <w:rsid w:val="00313ABC"/>
    <w:rsid w:val="00326549"/>
    <w:rsid w:val="003A7D99"/>
    <w:rsid w:val="004041F4"/>
    <w:rsid w:val="004056AE"/>
    <w:rsid w:val="00466619"/>
    <w:rsid w:val="00470E13"/>
    <w:rsid w:val="004926F2"/>
    <w:rsid w:val="004C12F3"/>
    <w:rsid w:val="004F7153"/>
    <w:rsid w:val="0051061A"/>
    <w:rsid w:val="00552E0A"/>
    <w:rsid w:val="005D7323"/>
    <w:rsid w:val="006069C5"/>
    <w:rsid w:val="006344E2"/>
    <w:rsid w:val="006952AB"/>
    <w:rsid w:val="006D5EB2"/>
    <w:rsid w:val="00723374"/>
    <w:rsid w:val="00735213"/>
    <w:rsid w:val="00793BF7"/>
    <w:rsid w:val="007B0EED"/>
    <w:rsid w:val="00800588"/>
    <w:rsid w:val="008177BA"/>
    <w:rsid w:val="008606C4"/>
    <w:rsid w:val="00A04E28"/>
    <w:rsid w:val="00A06A46"/>
    <w:rsid w:val="00A14BDC"/>
    <w:rsid w:val="00A166DA"/>
    <w:rsid w:val="00A31560"/>
    <w:rsid w:val="00A52AD1"/>
    <w:rsid w:val="00A55536"/>
    <w:rsid w:val="00A80DAA"/>
    <w:rsid w:val="00A943E7"/>
    <w:rsid w:val="00AC4FB3"/>
    <w:rsid w:val="00AF6AF8"/>
    <w:rsid w:val="00BA357F"/>
    <w:rsid w:val="00BC29FF"/>
    <w:rsid w:val="00C049AA"/>
    <w:rsid w:val="00C84BA1"/>
    <w:rsid w:val="00C9621D"/>
    <w:rsid w:val="00CD7E9A"/>
    <w:rsid w:val="00DA0E29"/>
    <w:rsid w:val="00DF1754"/>
    <w:rsid w:val="00E06425"/>
    <w:rsid w:val="00E10F73"/>
    <w:rsid w:val="00E85724"/>
    <w:rsid w:val="00F53D6F"/>
    <w:rsid w:val="00F9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8D01"/>
  <w15:docId w15:val="{A25A7F41-46AA-4AC1-ABA2-3755CE5E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4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DAA"/>
    <w:pPr>
      <w:tabs>
        <w:tab w:val="center" w:pos="4680"/>
        <w:tab w:val="right" w:pos="9360"/>
      </w:tabs>
    </w:pPr>
  </w:style>
  <w:style w:type="character" w:customStyle="1" w:styleId="HeaderChar">
    <w:name w:val="Header Char"/>
    <w:basedOn w:val="DefaultParagraphFont"/>
    <w:link w:val="Header"/>
    <w:uiPriority w:val="99"/>
    <w:rsid w:val="00A80DAA"/>
  </w:style>
  <w:style w:type="paragraph" w:styleId="Footer">
    <w:name w:val="footer"/>
    <w:basedOn w:val="Normal"/>
    <w:link w:val="FooterChar"/>
    <w:uiPriority w:val="99"/>
    <w:unhideWhenUsed/>
    <w:rsid w:val="00A80DAA"/>
    <w:pPr>
      <w:tabs>
        <w:tab w:val="center" w:pos="4680"/>
        <w:tab w:val="right" w:pos="9360"/>
      </w:tabs>
    </w:pPr>
  </w:style>
  <w:style w:type="character" w:customStyle="1" w:styleId="FooterChar">
    <w:name w:val="Footer Char"/>
    <w:basedOn w:val="DefaultParagraphFont"/>
    <w:link w:val="Footer"/>
    <w:uiPriority w:val="99"/>
    <w:rsid w:val="00A80DAA"/>
  </w:style>
  <w:style w:type="paragraph" w:styleId="ListParagraph">
    <w:name w:val="List Paragraph"/>
    <w:basedOn w:val="Normal"/>
    <w:uiPriority w:val="34"/>
    <w:qFormat/>
    <w:rsid w:val="00E85724"/>
    <w:pPr>
      <w:ind w:left="720" w:right="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E85724"/>
    <w:rPr>
      <w:color w:val="0000FF" w:themeColor="hyperlink"/>
      <w:u w:val="single"/>
    </w:rPr>
  </w:style>
  <w:style w:type="character" w:styleId="CommentReference">
    <w:name w:val="annotation reference"/>
    <w:basedOn w:val="DefaultParagraphFont"/>
    <w:uiPriority w:val="99"/>
    <w:semiHidden/>
    <w:unhideWhenUsed/>
    <w:rsid w:val="00E06425"/>
    <w:rPr>
      <w:sz w:val="16"/>
      <w:szCs w:val="16"/>
    </w:rPr>
  </w:style>
  <w:style w:type="paragraph" w:styleId="CommentText">
    <w:name w:val="annotation text"/>
    <w:basedOn w:val="Normal"/>
    <w:link w:val="CommentTextChar"/>
    <w:uiPriority w:val="99"/>
    <w:semiHidden/>
    <w:unhideWhenUsed/>
    <w:rsid w:val="00E06425"/>
    <w:rPr>
      <w:sz w:val="20"/>
      <w:szCs w:val="20"/>
    </w:rPr>
  </w:style>
  <w:style w:type="character" w:customStyle="1" w:styleId="CommentTextChar">
    <w:name w:val="Comment Text Char"/>
    <w:basedOn w:val="DefaultParagraphFont"/>
    <w:link w:val="CommentText"/>
    <w:uiPriority w:val="99"/>
    <w:semiHidden/>
    <w:rsid w:val="00E06425"/>
    <w:rPr>
      <w:sz w:val="20"/>
      <w:szCs w:val="20"/>
    </w:rPr>
  </w:style>
  <w:style w:type="paragraph" w:styleId="CommentSubject">
    <w:name w:val="annotation subject"/>
    <w:basedOn w:val="CommentText"/>
    <w:next w:val="CommentText"/>
    <w:link w:val="CommentSubjectChar"/>
    <w:uiPriority w:val="99"/>
    <w:semiHidden/>
    <w:unhideWhenUsed/>
    <w:rsid w:val="00E06425"/>
    <w:rPr>
      <w:b/>
      <w:bCs/>
    </w:rPr>
  </w:style>
  <w:style w:type="character" w:customStyle="1" w:styleId="CommentSubjectChar">
    <w:name w:val="Comment Subject Char"/>
    <w:basedOn w:val="CommentTextChar"/>
    <w:link w:val="CommentSubject"/>
    <w:uiPriority w:val="99"/>
    <w:semiHidden/>
    <w:rsid w:val="00E06425"/>
    <w:rPr>
      <w:b/>
      <w:bCs/>
      <w:sz w:val="20"/>
      <w:szCs w:val="20"/>
    </w:rPr>
  </w:style>
  <w:style w:type="paragraph" w:styleId="BalloonText">
    <w:name w:val="Balloon Text"/>
    <w:basedOn w:val="Normal"/>
    <w:link w:val="BalloonTextChar"/>
    <w:uiPriority w:val="99"/>
    <w:semiHidden/>
    <w:unhideWhenUsed/>
    <w:rsid w:val="00E06425"/>
    <w:rPr>
      <w:rFonts w:ascii="Tahoma" w:hAnsi="Tahoma" w:cs="Tahoma"/>
      <w:sz w:val="16"/>
      <w:szCs w:val="16"/>
    </w:rPr>
  </w:style>
  <w:style w:type="character" w:customStyle="1" w:styleId="BalloonTextChar">
    <w:name w:val="Balloon Text Char"/>
    <w:basedOn w:val="DefaultParagraphFont"/>
    <w:link w:val="BalloonText"/>
    <w:uiPriority w:val="99"/>
    <w:semiHidden/>
    <w:rsid w:val="00E06425"/>
    <w:rPr>
      <w:rFonts w:ascii="Tahoma" w:hAnsi="Tahoma" w:cs="Tahoma"/>
      <w:sz w:val="16"/>
      <w:szCs w:val="16"/>
    </w:rPr>
  </w:style>
  <w:style w:type="character" w:styleId="UnresolvedMention">
    <w:name w:val="Unresolved Mention"/>
    <w:basedOn w:val="DefaultParagraphFont"/>
    <w:uiPriority w:val="99"/>
    <w:semiHidden/>
    <w:unhideWhenUsed/>
    <w:rsid w:val="00735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6862">
      <w:bodyDiv w:val="1"/>
      <w:marLeft w:val="0"/>
      <w:marRight w:val="0"/>
      <w:marTop w:val="0"/>
      <w:marBottom w:val="0"/>
      <w:divBdr>
        <w:top w:val="none" w:sz="0" w:space="0" w:color="auto"/>
        <w:left w:val="none" w:sz="0" w:space="0" w:color="auto"/>
        <w:bottom w:val="none" w:sz="0" w:space="0" w:color="auto"/>
        <w:right w:val="none" w:sz="0" w:space="0" w:color="auto"/>
      </w:divBdr>
    </w:div>
    <w:div w:id="1496606874">
      <w:bodyDiv w:val="1"/>
      <w:marLeft w:val="0"/>
      <w:marRight w:val="0"/>
      <w:marTop w:val="0"/>
      <w:marBottom w:val="0"/>
      <w:divBdr>
        <w:top w:val="none" w:sz="0" w:space="0" w:color="auto"/>
        <w:left w:val="none" w:sz="0" w:space="0" w:color="auto"/>
        <w:bottom w:val="none" w:sz="0" w:space="0" w:color="auto"/>
        <w:right w:val="none" w:sz="0" w:space="0" w:color="auto"/>
      </w:divBdr>
    </w:div>
    <w:div w:id="188031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Policy on Section Display Loan</vt:lpstr>
    </vt:vector>
  </TitlesOfParts>
  <Company>American Physical Therapy Association</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Section Display Loan</dc:title>
  <dc:creator>Lucy Mitchell</dc:creator>
  <cp:lastModifiedBy>Suzie Callan</cp:lastModifiedBy>
  <cp:revision>5</cp:revision>
  <dcterms:created xsi:type="dcterms:W3CDTF">2022-09-29T14:36:00Z</dcterms:created>
  <dcterms:modified xsi:type="dcterms:W3CDTF">2022-10-04T21:10:00Z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LastSaved">
    <vt:filetime>2014-06-05T00:00:00Z</vt:filetime>
  </property>
</Properties>
</file>