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D2B9" w14:textId="02B66B11" w:rsidR="00402B6A" w:rsidRDefault="00402B6A" w:rsidP="00402B6A">
      <w:pPr>
        <w:spacing w:line="240" w:lineRule="auto"/>
        <w:jc w:val="center"/>
        <w:rPr>
          <w:rFonts w:eastAsia="Times New Roman"/>
          <w:b/>
          <w:sz w:val="20"/>
          <w:szCs w:val="20"/>
        </w:rPr>
      </w:pPr>
      <w:r>
        <w:rPr>
          <w:rFonts w:eastAsia="Times New Roman"/>
          <w:b/>
          <w:noProof/>
          <w:sz w:val="20"/>
          <w:szCs w:val="20"/>
        </w:rPr>
        <w:drawing>
          <wp:inline distT="0" distB="0" distL="0" distR="0" wp14:anchorId="2B362D57" wp14:editId="4FCE66CB">
            <wp:extent cx="6858000" cy="1485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58000" cy="1485265"/>
                    </a:xfrm>
                    <a:prstGeom prst="rect">
                      <a:avLst/>
                    </a:prstGeom>
                  </pic:spPr>
                </pic:pic>
              </a:graphicData>
            </a:graphic>
          </wp:inline>
        </w:drawing>
      </w:r>
    </w:p>
    <w:p w14:paraId="40F539CD" w14:textId="77777777" w:rsidR="00402B6A" w:rsidRDefault="00402B6A" w:rsidP="00402B6A">
      <w:pPr>
        <w:spacing w:line="240" w:lineRule="auto"/>
        <w:jc w:val="center"/>
        <w:rPr>
          <w:rFonts w:eastAsia="Times New Roman"/>
          <w:b/>
          <w:sz w:val="20"/>
          <w:szCs w:val="20"/>
        </w:rPr>
      </w:pPr>
    </w:p>
    <w:p w14:paraId="00000001" w14:textId="0C58AD18" w:rsidR="002970F5" w:rsidRPr="00402B6A" w:rsidRDefault="000F2E7E" w:rsidP="00402B6A">
      <w:pPr>
        <w:spacing w:line="240" w:lineRule="auto"/>
        <w:jc w:val="center"/>
        <w:rPr>
          <w:rFonts w:eastAsia="Times New Roman"/>
          <w:b/>
          <w:sz w:val="24"/>
          <w:szCs w:val="24"/>
        </w:rPr>
      </w:pPr>
      <w:r w:rsidRPr="00402B6A">
        <w:rPr>
          <w:rFonts w:eastAsia="Times New Roman"/>
          <w:b/>
          <w:sz w:val="24"/>
          <w:szCs w:val="24"/>
        </w:rPr>
        <w:t>APTA Indiana March 2021 Practice and Payment Newsletter</w:t>
      </w:r>
    </w:p>
    <w:p w14:paraId="00000002" w14:textId="77777777" w:rsidR="002970F5" w:rsidRPr="00402B6A" w:rsidRDefault="002970F5" w:rsidP="00402B6A">
      <w:pPr>
        <w:spacing w:line="240" w:lineRule="auto"/>
        <w:rPr>
          <w:rFonts w:eastAsia="Times New Roman"/>
          <w:sz w:val="20"/>
          <w:szCs w:val="20"/>
        </w:rPr>
      </w:pPr>
    </w:p>
    <w:p w14:paraId="28A2A2FF" w14:textId="77777777" w:rsidR="00402B6A" w:rsidRPr="007F692A" w:rsidRDefault="00402B6A" w:rsidP="00402B6A">
      <w:pPr>
        <w:spacing w:line="240" w:lineRule="auto"/>
        <w:rPr>
          <w:rFonts w:eastAsia="Times New Roman"/>
          <w:sz w:val="20"/>
          <w:szCs w:val="20"/>
        </w:rPr>
      </w:pPr>
      <w:r w:rsidRPr="007F692A">
        <w:rPr>
          <w:rFonts w:eastAsia="Times New Roman"/>
          <w:sz w:val="20"/>
          <w:szCs w:val="20"/>
        </w:rPr>
        <w:t xml:space="preserve">As a benefit of APTA Indiana membership, the Practice and Payment Specialist and Committee serve as a resource for assisting with practice and payment issues and updates. This includes disseminating updates, educating members, answering questions, and hearing from membership about practice and payment concerns. Please reach out to Andrea Lausch, PT, DPT, APTA Indiana Practice &amp; Payment Specialist, at </w:t>
      </w:r>
      <w:r w:rsidRPr="007F692A">
        <w:rPr>
          <w:rFonts w:eastAsia="Times New Roman"/>
          <w:b/>
          <w:bCs/>
          <w:color w:val="0070C0"/>
          <w:sz w:val="20"/>
          <w:szCs w:val="20"/>
        </w:rPr>
        <w:t>andrealausch@inapta.org</w:t>
      </w:r>
      <w:r w:rsidRPr="007F692A">
        <w:rPr>
          <w:rFonts w:eastAsia="Times New Roman"/>
          <w:sz w:val="20"/>
          <w:szCs w:val="20"/>
        </w:rPr>
        <w:t xml:space="preserve"> with questions or to inform the Committee of payor concerns. </w:t>
      </w:r>
    </w:p>
    <w:p w14:paraId="00000004" w14:textId="77777777" w:rsidR="002970F5" w:rsidRPr="00402B6A" w:rsidRDefault="002970F5" w:rsidP="00402B6A">
      <w:pPr>
        <w:spacing w:line="240" w:lineRule="auto"/>
        <w:rPr>
          <w:rFonts w:eastAsia="Times New Roman"/>
          <w:sz w:val="20"/>
          <w:szCs w:val="20"/>
        </w:rPr>
      </w:pPr>
    </w:p>
    <w:p w14:paraId="00000005" w14:textId="571BB7DD" w:rsidR="002970F5" w:rsidRPr="00402B6A" w:rsidRDefault="00402B6A" w:rsidP="00402B6A">
      <w:pPr>
        <w:spacing w:line="240" w:lineRule="auto"/>
        <w:jc w:val="center"/>
        <w:rPr>
          <w:rFonts w:eastAsia="Times New Roman"/>
          <w:b/>
          <w:sz w:val="20"/>
          <w:szCs w:val="20"/>
        </w:rPr>
      </w:pPr>
      <w:r>
        <w:rPr>
          <w:rFonts w:eastAsia="Times New Roman"/>
          <w:b/>
          <w:sz w:val="20"/>
          <w:szCs w:val="20"/>
        </w:rPr>
        <w:t>CONTENTS</w:t>
      </w:r>
    </w:p>
    <w:p w14:paraId="00000006" w14:textId="77777777" w:rsidR="002970F5" w:rsidRPr="00402B6A" w:rsidRDefault="002970F5" w:rsidP="00402B6A">
      <w:pPr>
        <w:spacing w:line="240" w:lineRule="auto"/>
        <w:rPr>
          <w:rFonts w:eastAsia="Times New Roman"/>
          <w:b/>
          <w:sz w:val="20"/>
          <w:szCs w:val="20"/>
        </w:rPr>
      </w:pPr>
    </w:p>
    <w:p w14:paraId="00000007" w14:textId="77777777" w:rsidR="002970F5" w:rsidRPr="00402B6A" w:rsidRDefault="000F2E7E" w:rsidP="00402B6A">
      <w:pPr>
        <w:spacing w:line="240" w:lineRule="auto"/>
        <w:rPr>
          <w:rFonts w:eastAsia="Times New Roman"/>
          <w:b/>
          <w:sz w:val="20"/>
          <w:szCs w:val="20"/>
        </w:rPr>
      </w:pPr>
      <w:r w:rsidRPr="00402B6A">
        <w:rPr>
          <w:rFonts w:eastAsia="Times New Roman"/>
          <w:b/>
          <w:sz w:val="20"/>
          <w:szCs w:val="20"/>
        </w:rPr>
        <w:t>The Centers for Medicare and Medicaid Services (</w:t>
      </w:r>
      <w:r w:rsidRPr="00402B6A">
        <w:rPr>
          <w:rFonts w:eastAsia="Times New Roman"/>
          <w:b/>
          <w:sz w:val="20"/>
          <w:szCs w:val="20"/>
        </w:rPr>
        <w:t>CMS)</w:t>
      </w:r>
    </w:p>
    <w:p w14:paraId="00000008" w14:textId="75B4C476" w:rsidR="002970F5" w:rsidRPr="00402B6A" w:rsidRDefault="000F2E7E" w:rsidP="00402B6A">
      <w:pPr>
        <w:pStyle w:val="ListParagraph"/>
        <w:numPr>
          <w:ilvl w:val="0"/>
          <w:numId w:val="5"/>
        </w:numPr>
        <w:spacing w:line="240" w:lineRule="auto"/>
        <w:rPr>
          <w:rFonts w:eastAsia="Times New Roman"/>
          <w:bCs/>
          <w:sz w:val="20"/>
          <w:szCs w:val="20"/>
        </w:rPr>
      </w:pPr>
      <w:r w:rsidRPr="00402B6A">
        <w:rPr>
          <w:rFonts w:eastAsia="Times New Roman"/>
          <w:bCs/>
          <w:sz w:val="20"/>
          <w:szCs w:val="20"/>
        </w:rPr>
        <w:t>Advocacy</w:t>
      </w:r>
    </w:p>
    <w:p w14:paraId="00000009" w14:textId="77777777" w:rsidR="002970F5" w:rsidRPr="00402B6A" w:rsidRDefault="000F2E7E" w:rsidP="00402B6A">
      <w:pPr>
        <w:pStyle w:val="ListParagraph"/>
        <w:numPr>
          <w:ilvl w:val="1"/>
          <w:numId w:val="5"/>
        </w:numPr>
        <w:spacing w:line="240" w:lineRule="auto"/>
        <w:rPr>
          <w:rFonts w:eastAsia="Times New Roman"/>
          <w:bCs/>
          <w:sz w:val="20"/>
          <w:szCs w:val="20"/>
        </w:rPr>
      </w:pPr>
      <w:r w:rsidRPr="00402B6A">
        <w:rPr>
          <w:rFonts w:eastAsia="Times New Roman"/>
          <w:bCs/>
          <w:sz w:val="20"/>
          <w:szCs w:val="20"/>
        </w:rPr>
        <w:t>2% Sequestration</w:t>
      </w:r>
    </w:p>
    <w:p w14:paraId="0000000A" w14:textId="77777777" w:rsidR="002970F5" w:rsidRPr="00402B6A" w:rsidRDefault="000F2E7E" w:rsidP="00402B6A">
      <w:pPr>
        <w:pStyle w:val="ListParagraph"/>
        <w:numPr>
          <w:ilvl w:val="1"/>
          <w:numId w:val="5"/>
        </w:numPr>
        <w:spacing w:line="240" w:lineRule="auto"/>
        <w:rPr>
          <w:rFonts w:eastAsia="Times New Roman"/>
          <w:bCs/>
          <w:sz w:val="20"/>
          <w:szCs w:val="20"/>
        </w:rPr>
      </w:pPr>
      <w:r w:rsidRPr="00402B6A">
        <w:rPr>
          <w:rFonts w:eastAsia="Times New Roman"/>
          <w:bCs/>
          <w:sz w:val="20"/>
          <w:szCs w:val="20"/>
        </w:rPr>
        <w:t>Telehealth</w:t>
      </w:r>
    </w:p>
    <w:p w14:paraId="0000000B" w14:textId="29EA8F7D" w:rsidR="002970F5" w:rsidRPr="00402B6A" w:rsidRDefault="000F2E7E" w:rsidP="00402B6A">
      <w:pPr>
        <w:pStyle w:val="ListParagraph"/>
        <w:numPr>
          <w:ilvl w:val="0"/>
          <w:numId w:val="5"/>
        </w:numPr>
        <w:spacing w:line="240" w:lineRule="auto"/>
        <w:rPr>
          <w:rFonts w:eastAsia="Times New Roman"/>
          <w:bCs/>
          <w:sz w:val="20"/>
          <w:szCs w:val="20"/>
        </w:rPr>
      </w:pPr>
      <w:r w:rsidRPr="00402B6A">
        <w:rPr>
          <w:rFonts w:eastAsia="Times New Roman"/>
          <w:bCs/>
          <w:sz w:val="20"/>
          <w:szCs w:val="20"/>
        </w:rPr>
        <w:t xml:space="preserve">PTA </w:t>
      </w:r>
      <w:r w:rsidR="00402B6A">
        <w:rPr>
          <w:rFonts w:eastAsia="Times New Roman"/>
          <w:bCs/>
          <w:sz w:val="20"/>
          <w:szCs w:val="20"/>
        </w:rPr>
        <w:t>M</w:t>
      </w:r>
      <w:r w:rsidRPr="00402B6A">
        <w:rPr>
          <w:rFonts w:eastAsia="Times New Roman"/>
          <w:bCs/>
          <w:sz w:val="20"/>
          <w:szCs w:val="20"/>
        </w:rPr>
        <w:t xml:space="preserve">odifier CMS </w:t>
      </w:r>
      <w:r w:rsidR="00402B6A">
        <w:rPr>
          <w:rFonts w:eastAsia="Times New Roman"/>
          <w:bCs/>
          <w:sz w:val="20"/>
          <w:szCs w:val="20"/>
        </w:rPr>
        <w:t>U</w:t>
      </w:r>
      <w:r w:rsidRPr="00402B6A">
        <w:rPr>
          <w:rFonts w:eastAsia="Times New Roman"/>
          <w:bCs/>
          <w:sz w:val="20"/>
          <w:szCs w:val="20"/>
        </w:rPr>
        <w:t>pdate</w:t>
      </w:r>
    </w:p>
    <w:p w14:paraId="0000000C" w14:textId="4EBBC963" w:rsidR="002970F5" w:rsidRPr="00402B6A" w:rsidRDefault="000F2E7E" w:rsidP="00402B6A">
      <w:pPr>
        <w:pStyle w:val="ListParagraph"/>
        <w:numPr>
          <w:ilvl w:val="0"/>
          <w:numId w:val="5"/>
        </w:numPr>
        <w:spacing w:line="240" w:lineRule="auto"/>
        <w:rPr>
          <w:rFonts w:eastAsia="Times New Roman"/>
          <w:bCs/>
          <w:sz w:val="20"/>
          <w:szCs w:val="20"/>
        </w:rPr>
      </w:pPr>
      <w:r w:rsidRPr="00402B6A">
        <w:rPr>
          <w:rFonts w:eastAsia="Times New Roman"/>
          <w:bCs/>
          <w:sz w:val="20"/>
          <w:szCs w:val="20"/>
        </w:rPr>
        <w:t xml:space="preserve">Merit-Based Incentive Payment System (MIPS) </w:t>
      </w:r>
      <w:r w:rsidR="00402B6A">
        <w:rPr>
          <w:rFonts w:eastAsia="Times New Roman"/>
          <w:bCs/>
          <w:sz w:val="20"/>
          <w:szCs w:val="20"/>
        </w:rPr>
        <w:t>D</w:t>
      </w:r>
      <w:r w:rsidRPr="00402B6A">
        <w:rPr>
          <w:rFonts w:eastAsia="Times New Roman"/>
          <w:bCs/>
          <w:sz w:val="20"/>
          <w:szCs w:val="20"/>
        </w:rPr>
        <w:t xml:space="preserve">eadline </w:t>
      </w:r>
      <w:r w:rsidR="00402B6A">
        <w:rPr>
          <w:rFonts w:eastAsia="Times New Roman"/>
          <w:bCs/>
          <w:sz w:val="20"/>
          <w:szCs w:val="20"/>
        </w:rPr>
        <w:t>E</w:t>
      </w:r>
      <w:r w:rsidRPr="00402B6A">
        <w:rPr>
          <w:rFonts w:eastAsia="Times New Roman"/>
          <w:bCs/>
          <w:sz w:val="20"/>
          <w:szCs w:val="20"/>
        </w:rPr>
        <w:t>xtension</w:t>
      </w:r>
    </w:p>
    <w:p w14:paraId="7E86D957" w14:textId="77777777" w:rsidR="00BE6E6E" w:rsidRDefault="00BE6E6E" w:rsidP="00402B6A">
      <w:pPr>
        <w:spacing w:line="240" w:lineRule="auto"/>
        <w:rPr>
          <w:rFonts w:eastAsia="Times New Roman"/>
          <w:b/>
          <w:sz w:val="20"/>
          <w:szCs w:val="20"/>
        </w:rPr>
      </w:pPr>
    </w:p>
    <w:p w14:paraId="0000000D" w14:textId="7C69B662" w:rsidR="002970F5" w:rsidRPr="00402B6A" w:rsidRDefault="000F2E7E" w:rsidP="00402B6A">
      <w:pPr>
        <w:spacing w:line="240" w:lineRule="auto"/>
        <w:rPr>
          <w:rFonts w:eastAsia="Times New Roman"/>
          <w:b/>
          <w:sz w:val="20"/>
          <w:szCs w:val="20"/>
        </w:rPr>
      </w:pPr>
      <w:r w:rsidRPr="00402B6A">
        <w:rPr>
          <w:rFonts w:eastAsia="Times New Roman"/>
          <w:b/>
          <w:sz w:val="20"/>
          <w:szCs w:val="20"/>
        </w:rPr>
        <w:t>HHS Office of National Coordinator of Health Information Technology (ONC)</w:t>
      </w:r>
    </w:p>
    <w:p w14:paraId="0000000E" w14:textId="1529AD04" w:rsidR="002970F5" w:rsidRPr="00402B6A" w:rsidRDefault="000F2E7E" w:rsidP="00402B6A">
      <w:pPr>
        <w:pStyle w:val="ListParagraph"/>
        <w:numPr>
          <w:ilvl w:val="0"/>
          <w:numId w:val="5"/>
        </w:numPr>
        <w:spacing w:line="240" w:lineRule="auto"/>
        <w:rPr>
          <w:rFonts w:eastAsia="Times New Roman"/>
          <w:bCs/>
          <w:sz w:val="20"/>
          <w:szCs w:val="20"/>
        </w:rPr>
      </w:pPr>
      <w:r w:rsidRPr="00402B6A">
        <w:rPr>
          <w:rFonts w:eastAsia="Times New Roman"/>
          <w:bCs/>
          <w:sz w:val="20"/>
          <w:szCs w:val="20"/>
        </w:rPr>
        <w:t>Information Blocking</w:t>
      </w:r>
    </w:p>
    <w:p w14:paraId="1CADCCBA" w14:textId="77777777" w:rsidR="00BE6E6E" w:rsidRDefault="00BE6E6E" w:rsidP="00402B6A">
      <w:pPr>
        <w:spacing w:line="240" w:lineRule="auto"/>
        <w:rPr>
          <w:rFonts w:eastAsia="Times New Roman"/>
          <w:b/>
          <w:sz w:val="20"/>
          <w:szCs w:val="20"/>
        </w:rPr>
      </w:pPr>
    </w:p>
    <w:p w14:paraId="0000000F" w14:textId="164CD5AB" w:rsidR="002970F5" w:rsidRPr="00402B6A" w:rsidRDefault="000F2E7E" w:rsidP="00402B6A">
      <w:pPr>
        <w:spacing w:line="240" w:lineRule="auto"/>
        <w:rPr>
          <w:rFonts w:eastAsia="Times New Roman"/>
          <w:b/>
          <w:sz w:val="20"/>
          <w:szCs w:val="20"/>
        </w:rPr>
      </w:pPr>
      <w:r w:rsidRPr="00402B6A">
        <w:rPr>
          <w:rFonts w:eastAsia="Times New Roman"/>
          <w:b/>
          <w:sz w:val="20"/>
          <w:szCs w:val="20"/>
        </w:rPr>
        <w:t xml:space="preserve">APTA </w:t>
      </w:r>
    </w:p>
    <w:p w14:paraId="00000010" w14:textId="39B15081" w:rsidR="002970F5" w:rsidRPr="00402B6A" w:rsidRDefault="000F2E7E" w:rsidP="00402B6A">
      <w:pPr>
        <w:pStyle w:val="ListParagraph"/>
        <w:numPr>
          <w:ilvl w:val="0"/>
          <w:numId w:val="5"/>
        </w:numPr>
        <w:spacing w:line="240" w:lineRule="auto"/>
        <w:rPr>
          <w:rFonts w:eastAsia="Times New Roman"/>
          <w:bCs/>
          <w:sz w:val="20"/>
          <w:szCs w:val="20"/>
        </w:rPr>
      </w:pPr>
      <w:r w:rsidRPr="00402B6A">
        <w:rPr>
          <w:rFonts w:eastAsia="Times New Roman"/>
          <w:bCs/>
          <w:sz w:val="20"/>
          <w:szCs w:val="20"/>
        </w:rPr>
        <w:t xml:space="preserve">Guidance on </w:t>
      </w:r>
      <w:r w:rsidR="00402B6A">
        <w:rPr>
          <w:rFonts w:eastAsia="Times New Roman"/>
          <w:bCs/>
          <w:sz w:val="20"/>
          <w:szCs w:val="20"/>
        </w:rPr>
        <w:t>P</w:t>
      </w:r>
      <w:r w:rsidRPr="00402B6A">
        <w:rPr>
          <w:rFonts w:eastAsia="Times New Roman"/>
          <w:bCs/>
          <w:sz w:val="20"/>
          <w:szCs w:val="20"/>
        </w:rPr>
        <w:t xml:space="preserve">rovider </w:t>
      </w:r>
      <w:r w:rsidRPr="00402B6A">
        <w:rPr>
          <w:rFonts w:eastAsia="Times New Roman"/>
          <w:bCs/>
          <w:sz w:val="20"/>
          <w:szCs w:val="20"/>
        </w:rPr>
        <w:t xml:space="preserve">EFT and VCC </w:t>
      </w:r>
      <w:r w:rsidR="00402B6A">
        <w:rPr>
          <w:rFonts w:eastAsia="Times New Roman"/>
          <w:bCs/>
          <w:sz w:val="20"/>
          <w:szCs w:val="20"/>
        </w:rPr>
        <w:t>F</w:t>
      </w:r>
      <w:r w:rsidRPr="00402B6A">
        <w:rPr>
          <w:rFonts w:eastAsia="Times New Roman"/>
          <w:bCs/>
          <w:sz w:val="20"/>
          <w:szCs w:val="20"/>
        </w:rPr>
        <w:t>ees/</w:t>
      </w:r>
      <w:r w:rsidR="00402B6A">
        <w:rPr>
          <w:rFonts w:eastAsia="Times New Roman"/>
          <w:bCs/>
          <w:sz w:val="20"/>
          <w:szCs w:val="20"/>
        </w:rPr>
        <w:t>E</w:t>
      </w:r>
      <w:r w:rsidRPr="00402B6A">
        <w:rPr>
          <w:rFonts w:eastAsia="Times New Roman"/>
          <w:bCs/>
          <w:sz w:val="20"/>
          <w:szCs w:val="20"/>
        </w:rPr>
        <w:t>xtrapolation</w:t>
      </w:r>
    </w:p>
    <w:p w14:paraId="08447ECD" w14:textId="77777777" w:rsidR="00BE6E6E" w:rsidRDefault="00BE6E6E" w:rsidP="00402B6A">
      <w:pPr>
        <w:spacing w:line="240" w:lineRule="auto"/>
        <w:rPr>
          <w:rFonts w:eastAsia="Times New Roman"/>
          <w:b/>
          <w:sz w:val="20"/>
          <w:szCs w:val="20"/>
        </w:rPr>
      </w:pPr>
    </w:p>
    <w:p w14:paraId="00000011" w14:textId="5293B99C" w:rsidR="002970F5" w:rsidRPr="00402B6A" w:rsidRDefault="000F2E7E" w:rsidP="00402B6A">
      <w:pPr>
        <w:spacing w:line="240" w:lineRule="auto"/>
        <w:rPr>
          <w:rFonts w:eastAsia="Times New Roman"/>
          <w:b/>
          <w:sz w:val="20"/>
          <w:szCs w:val="20"/>
        </w:rPr>
      </w:pPr>
      <w:r w:rsidRPr="00402B6A">
        <w:rPr>
          <w:rFonts w:eastAsia="Times New Roman"/>
          <w:b/>
          <w:sz w:val="20"/>
          <w:szCs w:val="20"/>
        </w:rPr>
        <w:t>NCCI Edit Files</w:t>
      </w:r>
    </w:p>
    <w:p w14:paraId="7BBD336C" w14:textId="77777777" w:rsidR="00BE6E6E" w:rsidRDefault="00BE6E6E" w:rsidP="00402B6A">
      <w:pPr>
        <w:spacing w:line="240" w:lineRule="auto"/>
        <w:rPr>
          <w:rFonts w:eastAsia="Times New Roman"/>
          <w:b/>
          <w:sz w:val="20"/>
          <w:szCs w:val="20"/>
        </w:rPr>
      </w:pPr>
    </w:p>
    <w:p w14:paraId="00000012" w14:textId="46C12BE1" w:rsidR="002970F5" w:rsidRPr="00402B6A" w:rsidRDefault="000F2E7E" w:rsidP="00402B6A">
      <w:pPr>
        <w:spacing w:line="240" w:lineRule="auto"/>
        <w:rPr>
          <w:rFonts w:eastAsia="Times New Roman"/>
          <w:b/>
          <w:sz w:val="20"/>
          <w:szCs w:val="20"/>
        </w:rPr>
      </w:pPr>
      <w:r w:rsidRPr="00402B6A">
        <w:rPr>
          <w:rFonts w:eastAsia="Times New Roman"/>
          <w:b/>
          <w:sz w:val="20"/>
          <w:szCs w:val="20"/>
        </w:rPr>
        <w:t>Telemedicine</w:t>
      </w:r>
    </w:p>
    <w:p w14:paraId="00000013" w14:textId="5C9F945F" w:rsidR="002970F5" w:rsidRPr="00402B6A" w:rsidRDefault="000F2E7E" w:rsidP="00402B6A">
      <w:pPr>
        <w:pStyle w:val="ListParagraph"/>
        <w:numPr>
          <w:ilvl w:val="0"/>
          <w:numId w:val="5"/>
        </w:numPr>
        <w:spacing w:line="240" w:lineRule="auto"/>
        <w:rPr>
          <w:rFonts w:eastAsia="Times New Roman"/>
          <w:bCs/>
          <w:sz w:val="20"/>
          <w:szCs w:val="20"/>
        </w:rPr>
      </w:pPr>
      <w:r w:rsidRPr="00402B6A">
        <w:rPr>
          <w:rFonts w:eastAsia="Times New Roman"/>
          <w:bCs/>
          <w:sz w:val="20"/>
          <w:szCs w:val="20"/>
        </w:rPr>
        <w:t xml:space="preserve">State and </w:t>
      </w:r>
      <w:r w:rsidR="00402B6A">
        <w:rPr>
          <w:rFonts w:eastAsia="Times New Roman"/>
          <w:bCs/>
          <w:sz w:val="20"/>
          <w:szCs w:val="20"/>
        </w:rPr>
        <w:t>C</w:t>
      </w:r>
      <w:r w:rsidRPr="00402B6A">
        <w:rPr>
          <w:rFonts w:eastAsia="Times New Roman"/>
          <w:bCs/>
          <w:sz w:val="20"/>
          <w:szCs w:val="20"/>
        </w:rPr>
        <w:t xml:space="preserve">ommercial </w:t>
      </w:r>
      <w:r w:rsidR="00402B6A">
        <w:rPr>
          <w:rFonts w:eastAsia="Times New Roman"/>
          <w:bCs/>
          <w:sz w:val="20"/>
          <w:szCs w:val="20"/>
        </w:rPr>
        <w:t>P</w:t>
      </w:r>
      <w:r w:rsidRPr="00402B6A">
        <w:rPr>
          <w:rFonts w:eastAsia="Times New Roman"/>
          <w:bCs/>
          <w:sz w:val="20"/>
          <w:szCs w:val="20"/>
        </w:rPr>
        <w:t>olicies</w:t>
      </w:r>
    </w:p>
    <w:p w14:paraId="2B1CACEC" w14:textId="77777777" w:rsidR="00BE6E6E" w:rsidRDefault="00BE6E6E" w:rsidP="00402B6A">
      <w:pPr>
        <w:spacing w:line="240" w:lineRule="auto"/>
        <w:rPr>
          <w:rFonts w:eastAsia="Times New Roman"/>
          <w:b/>
          <w:sz w:val="20"/>
          <w:szCs w:val="20"/>
        </w:rPr>
      </w:pPr>
    </w:p>
    <w:p w14:paraId="00000014" w14:textId="246AAA86" w:rsidR="002970F5" w:rsidRPr="00402B6A" w:rsidRDefault="000F2E7E" w:rsidP="00402B6A">
      <w:pPr>
        <w:spacing w:line="240" w:lineRule="auto"/>
        <w:rPr>
          <w:rFonts w:eastAsia="Times New Roman"/>
          <w:b/>
          <w:sz w:val="20"/>
          <w:szCs w:val="20"/>
        </w:rPr>
      </w:pPr>
      <w:r w:rsidRPr="00402B6A">
        <w:rPr>
          <w:rFonts w:eastAsia="Times New Roman"/>
          <w:b/>
          <w:sz w:val="20"/>
          <w:szCs w:val="20"/>
        </w:rPr>
        <w:t>United Healthcare</w:t>
      </w:r>
    </w:p>
    <w:p w14:paraId="00000015" w14:textId="21461E07" w:rsidR="002970F5" w:rsidRPr="00402B6A" w:rsidRDefault="000F2E7E" w:rsidP="00402B6A">
      <w:pPr>
        <w:pStyle w:val="ListParagraph"/>
        <w:numPr>
          <w:ilvl w:val="0"/>
          <w:numId w:val="5"/>
        </w:numPr>
        <w:spacing w:line="240" w:lineRule="auto"/>
        <w:rPr>
          <w:rFonts w:eastAsia="Times New Roman"/>
          <w:bCs/>
          <w:sz w:val="20"/>
          <w:szCs w:val="20"/>
        </w:rPr>
      </w:pPr>
      <w:r w:rsidRPr="00402B6A">
        <w:rPr>
          <w:rFonts w:eastAsia="Times New Roman"/>
          <w:bCs/>
          <w:sz w:val="20"/>
          <w:szCs w:val="20"/>
        </w:rPr>
        <w:t xml:space="preserve">Updated </w:t>
      </w:r>
      <w:r w:rsidR="00402B6A">
        <w:rPr>
          <w:rFonts w:eastAsia="Times New Roman"/>
          <w:bCs/>
          <w:sz w:val="20"/>
          <w:szCs w:val="20"/>
        </w:rPr>
        <w:t>C</w:t>
      </w:r>
      <w:r w:rsidRPr="00402B6A">
        <w:rPr>
          <w:rFonts w:eastAsia="Times New Roman"/>
          <w:bCs/>
          <w:sz w:val="20"/>
          <w:szCs w:val="20"/>
        </w:rPr>
        <w:t xml:space="preserve">overage </w:t>
      </w:r>
      <w:r w:rsidR="00402B6A">
        <w:rPr>
          <w:rFonts w:eastAsia="Times New Roman"/>
          <w:bCs/>
          <w:sz w:val="20"/>
          <w:szCs w:val="20"/>
        </w:rPr>
        <w:t>D</w:t>
      </w:r>
      <w:r w:rsidRPr="00402B6A">
        <w:rPr>
          <w:rFonts w:eastAsia="Times New Roman"/>
          <w:bCs/>
          <w:sz w:val="20"/>
          <w:szCs w:val="20"/>
        </w:rPr>
        <w:t xml:space="preserve">etermination </w:t>
      </w:r>
      <w:r w:rsidR="00402B6A">
        <w:rPr>
          <w:rFonts w:eastAsia="Times New Roman"/>
          <w:bCs/>
          <w:sz w:val="20"/>
          <w:szCs w:val="20"/>
        </w:rPr>
        <w:t>G</w:t>
      </w:r>
      <w:r w:rsidRPr="00402B6A">
        <w:rPr>
          <w:rFonts w:eastAsia="Times New Roman"/>
          <w:bCs/>
          <w:sz w:val="20"/>
          <w:szCs w:val="20"/>
        </w:rPr>
        <w:t xml:space="preserve">uidelines and </w:t>
      </w:r>
      <w:r w:rsidR="00402B6A">
        <w:rPr>
          <w:rFonts w:eastAsia="Times New Roman"/>
          <w:bCs/>
          <w:sz w:val="20"/>
          <w:szCs w:val="20"/>
        </w:rPr>
        <w:t>M</w:t>
      </w:r>
      <w:r w:rsidRPr="00402B6A">
        <w:rPr>
          <w:rFonts w:eastAsia="Times New Roman"/>
          <w:bCs/>
          <w:sz w:val="20"/>
          <w:szCs w:val="20"/>
        </w:rPr>
        <w:t xml:space="preserve">edical </w:t>
      </w:r>
      <w:r w:rsidR="00402B6A">
        <w:rPr>
          <w:rFonts w:eastAsia="Times New Roman"/>
          <w:bCs/>
          <w:sz w:val="20"/>
          <w:szCs w:val="20"/>
        </w:rPr>
        <w:t>P</w:t>
      </w:r>
      <w:r w:rsidRPr="00402B6A">
        <w:rPr>
          <w:rFonts w:eastAsia="Times New Roman"/>
          <w:bCs/>
          <w:sz w:val="20"/>
          <w:szCs w:val="20"/>
        </w:rPr>
        <w:t>olicies</w:t>
      </w:r>
    </w:p>
    <w:p w14:paraId="7CB47B8B" w14:textId="77777777" w:rsidR="00BE6E6E" w:rsidRDefault="00BE6E6E" w:rsidP="00402B6A">
      <w:pPr>
        <w:spacing w:line="240" w:lineRule="auto"/>
        <w:rPr>
          <w:rFonts w:eastAsia="Times New Roman"/>
          <w:b/>
          <w:sz w:val="20"/>
          <w:szCs w:val="20"/>
        </w:rPr>
      </w:pPr>
    </w:p>
    <w:p w14:paraId="00000016" w14:textId="0622B633" w:rsidR="002970F5" w:rsidRPr="00402B6A" w:rsidRDefault="000F2E7E" w:rsidP="00402B6A">
      <w:pPr>
        <w:spacing w:line="240" w:lineRule="auto"/>
        <w:rPr>
          <w:rFonts w:eastAsia="Times New Roman"/>
          <w:b/>
          <w:sz w:val="20"/>
          <w:szCs w:val="20"/>
        </w:rPr>
      </w:pPr>
      <w:r w:rsidRPr="00402B6A">
        <w:rPr>
          <w:rFonts w:eastAsia="Times New Roman"/>
          <w:b/>
          <w:sz w:val="20"/>
          <w:szCs w:val="20"/>
        </w:rPr>
        <w:t>Anthem</w:t>
      </w:r>
    </w:p>
    <w:p w14:paraId="00000017" w14:textId="5F44F173" w:rsidR="002970F5" w:rsidRPr="00402B6A" w:rsidRDefault="000F2E7E" w:rsidP="00402B6A">
      <w:pPr>
        <w:pStyle w:val="ListParagraph"/>
        <w:numPr>
          <w:ilvl w:val="0"/>
          <w:numId w:val="5"/>
        </w:numPr>
        <w:spacing w:line="240" w:lineRule="auto"/>
        <w:rPr>
          <w:rFonts w:eastAsia="Times New Roman"/>
          <w:bCs/>
          <w:sz w:val="20"/>
          <w:szCs w:val="20"/>
        </w:rPr>
      </w:pPr>
      <w:r w:rsidRPr="00402B6A">
        <w:rPr>
          <w:rFonts w:eastAsia="Times New Roman"/>
          <w:bCs/>
          <w:sz w:val="20"/>
          <w:szCs w:val="20"/>
        </w:rPr>
        <w:tab/>
      </w:r>
      <w:r w:rsidRPr="00402B6A">
        <w:rPr>
          <w:rFonts w:eastAsia="Times New Roman"/>
          <w:bCs/>
          <w:sz w:val="20"/>
          <w:szCs w:val="20"/>
        </w:rPr>
        <w:t>Frequency Editing</w:t>
      </w:r>
      <w:r w:rsidR="00402B6A">
        <w:rPr>
          <w:rFonts w:eastAsia="Times New Roman"/>
          <w:bCs/>
          <w:sz w:val="20"/>
          <w:szCs w:val="20"/>
        </w:rPr>
        <w:t xml:space="preserve"> </w:t>
      </w:r>
      <w:r w:rsidRPr="00402B6A">
        <w:rPr>
          <w:rFonts w:eastAsia="Times New Roman"/>
          <w:bCs/>
          <w:sz w:val="20"/>
          <w:szCs w:val="20"/>
        </w:rPr>
        <w:t>-</w:t>
      </w:r>
      <w:r w:rsidRPr="00402B6A">
        <w:rPr>
          <w:rFonts w:eastAsia="Times New Roman"/>
          <w:bCs/>
          <w:sz w:val="20"/>
          <w:szCs w:val="20"/>
        </w:rPr>
        <w:t xml:space="preserve"> Professional </w:t>
      </w:r>
      <w:r w:rsidR="00402B6A">
        <w:rPr>
          <w:rFonts w:eastAsia="Times New Roman"/>
          <w:bCs/>
          <w:sz w:val="20"/>
          <w:szCs w:val="20"/>
        </w:rPr>
        <w:t>U</w:t>
      </w:r>
      <w:r w:rsidRPr="00402B6A">
        <w:rPr>
          <w:rFonts w:eastAsia="Times New Roman"/>
          <w:bCs/>
          <w:sz w:val="20"/>
          <w:szCs w:val="20"/>
        </w:rPr>
        <w:t>pdate</w:t>
      </w:r>
    </w:p>
    <w:p w14:paraId="00000018" w14:textId="010FDB91" w:rsidR="002970F5" w:rsidRPr="00402B6A" w:rsidRDefault="000F2E7E" w:rsidP="00402B6A">
      <w:pPr>
        <w:pStyle w:val="ListParagraph"/>
        <w:numPr>
          <w:ilvl w:val="0"/>
          <w:numId w:val="5"/>
        </w:numPr>
        <w:spacing w:line="240" w:lineRule="auto"/>
        <w:rPr>
          <w:rFonts w:eastAsia="Times New Roman"/>
          <w:bCs/>
          <w:sz w:val="20"/>
          <w:szCs w:val="20"/>
        </w:rPr>
      </w:pPr>
      <w:r w:rsidRPr="00402B6A">
        <w:rPr>
          <w:rFonts w:eastAsia="Times New Roman"/>
          <w:bCs/>
          <w:sz w:val="20"/>
          <w:szCs w:val="20"/>
        </w:rPr>
        <w:tab/>
      </w:r>
      <w:r w:rsidRPr="00402B6A">
        <w:rPr>
          <w:rFonts w:eastAsia="Times New Roman"/>
          <w:bCs/>
          <w:sz w:val="20"/>
          <w:szCs w:val="20"/>
        </w:rPr>
        <w:t xml:space="preserve">AIM: Peer to Peer </w:t>
      </w:r>
      <w:r w:rsidR="00402B6A">
        <w:rPr>
          <w:rFonts w:eastAsia="Times New Roman"/>
          <w:bCs/>
          <w:sz w:val="20"/>
          <w:szCs w:val="20"/>
        </w:rPr>
        <w:t>R</w:t>
      </w:r>
      <w:r w:rsidRPr="00402B6A">
        <w:rPr>
          <w:rFonts w:eastAsia="Times New Roman"/>
          <w:bCs/>
          <w:sz w:val="20"/>
          <w:szCs w:val="20"/>
        </w:rPr>
        <w:t xml:space="preserve">eview </w:t>
      </w:r>
      <w:r w:rsidR="00402B6A">
        <w:rPr>
          <w:rFonts w:eastAsia="Times New Roman"/>
          <w:bCs/>
          <w:sz w:val="20"/>
          <w:szCs w:val="20"/>
        </w:rPr>
        <w:t>S</w:t>
      </w:r>
      <w:r w:rsidRPr="00402B6A">
        <w:rPr>
          <w:rFonts w:eastAsia="Times New Roman"/>
          <w:bCs/>
          <w:sz w:val="20"/>
          <w:szCs w:val="20"/>
        </w:rPr>
        <w:t>cheduling</w:t>
      </w:r>
    </w:p>
    <w:p w14:paraId="00000019" w14:textId="77777777" w:rsidR="002970F5" w:rsidRPr="00402B6A" w:rsidRDefault="002970F5" w:rsidP="00402B6A">
      <w:pPr>
        <w:spacing w:line="240" w:lineRule="auto"/>
        <w:rPr>
          <w:rFonts w:eastAsia="Times New Roman"/>
          <w:b/>
          <w:sz w:val="20"/>
          <w:szCs w:val="20"/>
        </w:rPr>
      </w:pPr>
    </w:p>
    <w:p w14:paraId="0000001A" w14:textId="255E8E73" w:rsidR="002970F5" w:rsidRPr="00402B6A" w:rsidRDefault="00402B6A" w:rsidP="00402B6A">
      <w:pPr>
        <w:spacing w:line="240" w:lineRule="auto"/>
        <w:rPr>
          <w:rFonts w:eastAsia="Times New Roman"/>
          <w:b/>
          <w:sz w:val="20"/>
          <w:szCs w:val="20"/>
        </w:rPr>
      </w:pPr>
      <w:r>
        <w:rPr>
          <w:rFonts w:eastAsia="Times New Roman"/>
          <w:b/>
          <w:sz w:val="20"/>
          <w:szCs w:val="20"/>
        </w:rPr>
        <w:pict w14:anchorId="378B87A7">
          <v:rect id="_x0000_i1025" style="width:0;height:1.5pt" o:hralign="center" o:hrstd="t" o:hr="t" fillcolor="#a0a0a0" stroked="f"/>
        </w:pict>
      </w:r>
    </w:p>
    <w:p w14:paraId="2B847BE3" w14:textId="77777777" w:rsidR="00402B6A" w:rsidRDefault="00402B6A" w:rsidP="00402B6A">
      <w:pPr>
        <w:spacing w:line="240" w:lineRule="auto"/>
        <w:rPr>
          <w:rFonts w:eastAsia="Times New Roman"/>
          <w:b/>
          <w:sz w:val="20"/>
          <w:szCs w:val="20"/>
        </w:rPr>
      </w:pPr>
    </w:p>
    <w:p w14:paraId="0000001B" w14:textId="02F9281C" w:rsidR="002970F5" w:rsidRPr="00402B6A" w:rsidRDefault="000F2E7E" w:rsidP="00402B6A">
      <w:pPr>
        <w:spacing w:line="240" w:lineRule="auto"/>
        <w:rPr>
          <w:rFonts w:eastAsia="Times New Roman"/>
          <w:b/>
          <w:caps/>
          <w:sz w:val="20"/>
          <w:szCs w:val="20"/>
        </w:rPr>
      </w:pPr>
      <w:r w:rsidRPr="00402B6A">
        <w:rPr>
          <w:rFonts w:eastAsia="Times New Roman"/>
          <w:b/>
          <w:caps/>
          <w:sz w:val="20"/>
          <w:szCs w:val="20"/>
        </w:rPr>
        <w:t>The Centers for Medicare and Medicaid Services (CMS)</w:t>
      </w:r>
    </w:p>
    <w:p w14:paraId="2ADEE071" w14:textId="77777777" w:rsidR="00402B6A" w:rsidRDefault="00402B6A" w:rsidP="00402B6A">
      <w:pPr>
        <w:pStyle w:val="Heading1"/>
        <w:spacing w:before="0" w:after="0" w:line="240" w:lineRule="auto"/>
        <w:rPr>
          <w:rFonts w:eastAsia="Times New Roman"/>
          <w:b/>
          <w:sz w:val="20"/>
          <w:szCs w:val="20"/>
        </w:rPr>
      </w:pPr>
      <w:bookmarkStart w:id="0" w:name="_7dtth8hfdlrt" w:colFirst="0" w:colLast="0"/>
      <w:bookmarkEnd w:id="0"/>
    </w:p>
    <w:p w14:paraId="0000001C" w14:textId="14917269" w:rsidR="002970F5" w:rsidRPr="00402B6A" w:rsidRDefault="000F2E7E" w:rsidP="00402B6A">
      <w:pPr>
        <w:pStyle w:val="Heading1"/>
        <w:spacing w:before="0" w:after="0" w:line="240" w:lineRule="auto"/>
        <w:rPr>
          <w:rFonts w:eastAsia="Times New Roman"/>
          <w:b/>
          <w:sz w:val="20"/>
          <w:szCs w:val="20"/>
        </w:rPr>
      </w:pPr>
      <w:r w:rsidRPr="00402B6A">
        <w:rPr>
          <w:rFonts w:eastAsia="Times New Roman"/>
          <w:b/>
          <w:sz w:val="20"/>
          <w:szCs w:val="20"/>
        </w:rPr>
        <w:t>Stop Medicare Cuts to Providers – Extend Sequestration Moratorium</w:t>
      </w:r>
    </w:p>
    <w:p w14:paraId="0000001D" w14:textId="7EDFDC25" w:rsidR="002970F5" w:rsidRPr="00402B6A" w:rsidRDefault="000F2E7E" w:rsidP="00402B6A">
      <w:pPr>
        <w:spacing w:line="240" w:lineRule="auto"/>
        <w:rPr>
          <w:rFonts w:eastAsia="Times New Roman"/>
          <w:sz w:val="20"/>
          <w:szCs w:val="20"/>
        </w:rPr>
      </w:pPr>
      <w:r w:rsidRPr="00402B6A">
        <w:rPr>
          <w:rFonts w:eastAsia="Times New Roman"/>
          <w:sz w:val="20"/>
          <w:szCs w:val="20"/>
        </w:rPr>
        <w:t>Congress must pass legislation that extends the current moratorium on the automatic 2% Medicare sequester cut — also referred to as sequestration — during the COVID-19 Public Health Emergency. This cut impacts Medicare payments to all providers and facilit</w:t>
      </w:r>
      <w:r w:rsidRPr="00402B6A">
        <w:rPr>
          <w:rFonts w:eastAsia="Times New Roman"/>
          <w:sz w:val="20"/>
          <w:szCs w:val="20"/>
        </w:rPr>
        <w:t>ies, and it currently expires on March 31.  </w:t>
      </w:r>
      <w:r w:rsidRPr="00402B6A">
        <w:rPr>
          <w:rFonts w:eastAsia="Times New Roman"/>
          <w:sz w:val="20"/>
          <w:szCs w:val="20"/>
        </w:rPr>
        <w:t>We hear Congress is moving forward with legislation this week and we need you to take action now.</w:t>
      </w:r>
    </w:p>
    <w:p w14:paraId="0000001E" w14:textId="77777777" w:rsidR="002970F5" w:rsidRPr="00402B6A" w:rsidRDefault="002970F5" w:rsidP="00402B6A">
      <w:pPr>
        <w:spacing w:line="240" w:lineRule="auto"/>
        <w:rPr>
          <w:rFonts w:eastAsia="Times New Roman"/>
          <w:sz w:val="20"/>
          <w:szCs w:val="20"/>
        </w:rPr>
      </w:pPr>
    </w:p>
    <w:p w14:paraId="0000001F" w14:textId="6D0D6668" w:rsidR="002970F5" w:rsidRPr="00402B6A" w:rsidRDefault="000F2E7E" w:rsidP="00402B6A">
      <w:pPr>
        <w:spacing w:line="240" w:lineRule="auto"/>
        <w:rPr>
          <w:rFonts w:eastAsia="Times New Roman"/>
          <w:sz w:val="20"/>
          <w:szCs w:val="20"/>
        </w:rPr>
      </w:pPr>
      <w:r w:rsidRPr="00402B6A">
        <w:rPr>
          <w:rFonts w:eastAsia="Times New Roman"/>
          <w:sz w:val="20"/>
          <w:szCs w:val="20"/>
        </w:rPr>
        <w:t>Physical therapists, physical therapist assistants</w:t>
      </w:r>
      <w:r w:rsidRPr="00402B6A">
        <w:rPr>
          <w:rFonts w:eastAsia="Times New Roman"/>
          <w:sz w:val="20"/>
          <w:szCs w:val="20"/>
        </w:rPr>
        <w:t xml:space="preserve"> and other health care providers still need support to mainta</w:t>
      </w:r>
      <w:r w:rsidRPr="00402B6A">
        <w:rPr>
          <w:rFonts w:eastAsia="Times New Roman"/>
          <w:sz w:val="20"/>
          <w:szCs w:val="20"/>
        </w:rPr>
        <w:t>in stability as the COVID-19 pandemic continues. Congress can help by extending the current moratorium through the end of the PHE.</w:t>
      </w:r>
    </w:p>
    <w:p w14:paraId="00000020" w14:textId="77777777" w:rsidR="002970F5" w:rsidRPr="00402B6A" w:rsidRDefault="002970F5" w:rsidP="00402B6A">
      <w:pPr>
        <w:spacing w:line="240" w:lineRule="auto"/>
        <w:rPr>
          <w:rFonts w:eastAsia="Times New Roman"/>
          <w:sz w:val="20"/>
          <w:szCs w:val="20"/>
        </w:rPr>
      </w:pPr>
    </w:p>
    <w:p w14:paraId="00000021" w14:textId="361EA46F" w:rsidR="002970F5" w:rsidRPr="000F2E7E" w:rsidRDefault="000F2E7E" w:rsidP="00402B6A">
      <w:pPr>
        <w:spacing w:line="240" w:lineRule="auto"/>
        <w:rPr>
          <w:rFonts w:eastAsia="Times New Roman"/>
          <w:b/>
          <w:bCs/>
          <w:color w:val="0070C0"/>
          <w:sz w:val="20"/>
          <w:szCs w:val="20"/>
        </w:rPr>
      </w:pPr>
      <w:hyperlink r:id="rId6">
        <w:r w:rsidRPr="000F2E7E">
          <w:rPr>
            <w:rFonts w:eastAsia="Times New Roman"/>
            <w:b/>
            <w:bCs/>
            <w:color w:val="0070C0"/>
            <w:sz w:val="20"/>
            <w:szCs w:val="20"/>
          </w:rPr>
          <w:t>Take action today and ask your members of Congress to pass legislation to extend the current moratorium on the Medicare sequestration cut before April 1.</w:t>
        </w:r>
      </w:hyperlink>
    </w:p>
    <w:p w14:paraId="50970B84" w14:textId="77777777" w:rsidR="00402B6A" w:rsidRPr="00402B6A" w:rsidRDefault="00402B6A" w:rsidP="00402B6A">
      <w:pPr>
        <w:spacing w:line="240" w:lineRule="auto"/>
        <w:rPr>
          <w:rFonts w:eastAsia="Times New Roman"/>
          <w:sz w:val="20"/>
          <w:szCs w:val="20"/>
        </w:rPr>
      </w:pPr>
    </w:p>
    <w:p w14:paraId="00000022" w14:textId="77777777" w:rsidR="002970F5" w:rsidRPr="00402B6A" w:rsidRDefault="000F2E7E" w:rsidP="00402B6A">
      <w:pPr>
        <w:pStyle w:val="Heading1"/>
        <w:keepNext w:val="0"/>
        <w:keepLines w:val="0"/>
        <w:spacing w:before="0" w:after="0" w:line="240" w:lineRule="auto"/>
        <w:rPr>
          <w:rFonts w:eastAsia="Times New Roman"/>
          <w:b/>
          <w:sz w:val="20"/>
          <w:szCs w:val="20"/>
          <w:highlight w:val="white"/>
        </w:rPr>
      </w:pPr>
      <w:bookmarkStart w:id="1" w:name="_wjdvznot0at9" w:colFirst="0" w:colLast="0"/>
      <w:bookmarkEnd w:id="1"/>
      <w:r w:rsidRPr="00402B6A">
        <w:rPr>
          <w:rFonts w:eastAsia="Times New Roman"/>
          <w:b/>
          <w:sz w:val="20"/>
          <w:szCs w:val="20"/>
          <w:highlight w:val="white"/>
        </w:rPr>
        <w:t>Support Permanent Access to Telehealth for Therapy Under Medicare</w:t>
      </w:r>
    </w:p>
    <w:p w14:paraId="00000023" w14:textId="64160793" w:rsidR="002970F5" w:rsidRPr="00402B6A" w:rsidRDefault="000F2E7E" w:rsidP="00402B6A">
      <w:pPr>
        <w:spacing w:line="240" w:lineRule="auto"/>
        <w:rPr>
          <w:rFonts w:eastAsia="Times New Roman"/>
          <w:sz w:val="20"/>
          <w:szCs w:val="20"/>
        </w:rPr>
      </w:pPr>
      <w:r w:rsidRPr="00402B6A">
        <w:rPr>
          <w:rFonts w:eastAsia="Times New Roman"/>
          <w:sz w:val="20"/>
          <w:szCs w:val="20"/>
        </w:rPr>
        <w:t>The APTA-supported Expanded Teleheal</w:t>
      </w:r>
      <w:r w:rsidRPr="00402B6A">
        <w:rPr>
          <w:rFonts w:eastAsia="Times New Roman"/>
          <w:sz w:val="20"/>
          <w:szCs w:val="20"/>
        </w:rPr>
        <w:t>th Access Act of 2021 (H.R. 2168) has been introduced by Reps. Mikie Sherrill, D-N</w:t>
      </w:r>
      <w:r w:rsidR="00402B6A">
        <w:rPr>
          <w:rFonts w:eastAsia="Times New Roman"/>
          <w:sz w:val="20"/>
          <w:szCs w:val="20"/>
        </w:rPr>
        <w:t>J</w:t>
      </w:r>
      <w:r w:rsidRPr="00402B6A">
        <w:rPr>
          <w:rFonts w:eastAsia="Times New Roman"/>
          <w:sz w:val="20"/>
          <w:szCs w:val="20"/>
        </w:rPr>
        <w:t>, and David McKinley, R-W</w:t>
      </w:r>
      <w:r w:rsidRPr="00402B6A">
        <w:rPr>
          <w:rFonts w:eastAsia="Times New Roman"/>
          <w:sz w:val="20"/>
          <w:szCs w:val="20"/>
        </w:rPr>
        <w:t>V</w:t>
      </w:r>
      <w:r w:rsidRPr="00402B6A">
        <w:rPr>
          <w:rFonts w:eastAsia="Times New Roman"/>
          <w:sz w:val="20"/>
          <w:szCs w:val="20"/>
        </w:rPr>
        <w:t>, in the House of Representatives.</w:t>
      </w:r>
      <w:r w:rsidR="00402B6A">
        <w:rPr>
          <w:rFonts w:eastAsia="Times New Roman"/>
          <w:sz w:val="20"/>
          <w:szCs w:val="20"/>
        </w:rPr>
        <w:t xml:space="preserve"> </w:t>
      </w:r>
      <w:r w:rsidRPr="00402B6A">
        <w:rPr>
          <w:rFonts w:eastAsia="Times New Roman"/>
          <w:sz w:val="20"/>
          <w:szCs w:val="20"/>
        </w:rPr>
        <w:t>This bipartisan legislation would make permanent the current temporary policy that allows physical therapist</w:t>
      </w:r>
      <w:r w:rsidRPr="00402B6A">
        <w:rPr>
          <w:rFonts w:eastAsia="Times New Roman"/>
          <w:sz w:val="20"/>
          <w:szCs w:val="20"/>
        </w:rPr>
        <w:t xml:space="preserve">s and physical therapist assistants to deliver and bill for services provided via telehealth under Medicare. </w:t>
      </w:r>
    </w:p>
    <w:p w14:paraId="00000024" w14:textId="77777777" w:rsidR="002970F5" w:rsidRPr="00402B6A" w:rsidRDefault="002970F5" w:rsidP="00402B6A">
      <w:pPr>
        <w:spacing w:line="240" w:lineRule="auto"/>
        <w:rPr>
          <w:rFonts w:eastAsia="Times New Roman"/>
          <w:sz w:val="20"/>
          <w:szCs w:val="20"/>
        </w:rPr>
      </w:pPr>
    </w:p>
    <w:p w14:paraId="00000025" w14:textId="77777777" w:rsidR="002970F5" w:rsidRPr="00402B6A" w:rsidRDefault="000F2E7E" w:rsidP="00402B6A">
      <w:pPr>
        <w:spacing w:line="240" w:lineRule="auto"/>
        <w:rPr>
          <w:rFonts w:eastAsia="Times New Roman"/>
          <w:b/>
          <w:bCs/>
          <w:color w:val="333333"/>
          <w:sz w:val="20"/>
          <w:szCs w:val="20"/>
          <w:highlight w:val="white"/>
        </w:rPr>
      </w:pPr>
      <w:r w:rsidRPr="00402B6A">
        <w:rPr>
          <w:rFonts w:eastAsia="Times New Roman"/>
          <w:sz w:val="20"/>
          <w:szCs w:val="20"/>
        </w:rPr>
        <w:t xml:space="preserve">Members, patients, and supporters can take action on H.R. 2168 via the APTA Action Center at: </w:t>
      </w:r>
      <w:hyperlink r:id="rId7">
        <w:r w:rsidRPr="000F2E7E">
          <w:rPr>
            <w:rFonts w:eastAsia="Times New Roman"/>
            <w:b/>
            <w:bCs/>
            <w:color w:val="0070C0"/>
            <w:sz w:val="20"/>
            <w:szCs w:val="20"/>
          </w:rPr>
          <w:t>https://www.votervoice.net/APTA/campaigns/83020/respond</w:t>
        </w:r>
      </w:hyperlink>
    </w:p>
    <w:p w14:paraId="00000026" w14:textId="77777777" w:rsidR="002970F5" w:rsidRPr="00402B6A" w:rsidRDefault="002970F5" w:rsidP="00402B6A">
      <w:pPr>
        <w:spacing w:line="240" w:lineRule="auto"/>
        <w:jc w:val="center"/>
        <w:rPr>
          <w:rFonts w:eastAsia="Times New Roman"/>
          <w:b/>
          <w:sz w:val="20"/>
          <w:szCs w:val="20"/>
        </w:rPr>
      </w:pPr>
    </w:p>
    <w:p w14:paraId="00000028" w14:textId="2155B5A4" w:rsidR="002970F5" w:rsidRPr="00402B6A" w:rsidRDefault="000F2E7E" w:rsidP="00402B6A">
      <w:pPr>
        <w:spacing w:line="240" w:lineRule="auto"/>
        <w:rPr>
          <w:rFonts w:eastAsia="Times New Roman"/>
          <w:b/>
          <w:sz w:val="20"/>
          <w:szCs w:val="20"/>
        </w:rPr>
      </w:pPr>
      <w:r w:rsidRPr="00402B6A">
        <w:rPr>
          <w:rFonts w:eastAsia="Times New Roman"/>
          <w:b/>
          <w:sz w:val="20"/>
          <w:szCs w:val="20"/>
        </w:rPr>
        <w:t>PTA Modifier CMS Update</w:t>
      </w:r>
    </w:p>
    <w:p w14:paraId="00000029" w14:textId="612035E7" w:rsidR="002970F5" w:rsidRDefault="000F2E7E" w:rsidP="00402B6A">
      <w:pPr>
        <w:spacing w:line="240" w:lineRule="auto"/>
        <w:rPr>
          <w:rFonts w:eastAsia="Times New Roman"/>
          <w:sz w:val="20"/>
          <w:szCs w:val="20"/>
        </w:rPr>
      </w:pPr>
      <w:r w:rsidRPr="00402B6A">
        <w:rPr>
          <w:rFonts w:eastAsia="Times New Roman"/>
          <w:sz w:val="20"/>
          <w:szCs w:val="20"/>
        </w:rPr>
        <w:t>U</w:t>
      </w:r>
      <w:r w:rsidRPr="00402B6A">
        <w:rPr>
          <w:rFonts w:eastAsia="Times New Roman"/>
          <w:sz w:val="20"/>
          <w:szCs w:val="20"/>
        </w:rPr>
        <w:t>S</w:t>
      </w:r>
      <w:r w:rsidRPr="00402B6A">
        <w:rPr>
          <w:rFonts w:eastAsia="Times New Roman"/>
          <w:sz w:val="20"/>
          <w:szCs w:val="20"/>
        </w:rPr>
        <w:t xml:space="preserve"> Centers for Medicare &amp; Medicaid Services recently provided more guidance around the use of the PTA modifier with details on the policy for calcul</w:t>
      </w:r>
      <w:r w:rsidRPr="00402B6A">
        <w:rPr>
          <w:rFonts w:eastAsia="Times New Roman"/>
          <w:sz w:val="20"/>
          <w:szCs w:val="20"/>
        </w:rPr>
        <w:t xml:space="preserve">ating the 10% "de minimis standard" and </w:t>
      </w:r>
      <w:hyperlink r:id="rId8">
        <w:r w:rsidRPr="000F2E7E">
          <w:rPr>
            <w:rFonts w:eastAsia="Times New Roman"/>
            <w:b/>
            <w:bCs/>
            <w:color w:val="0070C0"/>
            <w:sz w:val="20"/>
            <w:szCs w:val="20"/>
          </w:rPr>
          <w:t>a set of billing examples</w:t>
        </w:r>
      </w:hyperlink>
      <w:r w:rsidRPr="00402B6A">
        <w:rPr>
          <w:rFonts w:eastAsia="Times New Roman"/>
          <w:sz w:val="20"/>
          <w:szCs w:val="20"/>
        </w:rPr>
        <w:t xml:space="preserve"> that illustrate how the CQ modifier should be applied to in</w:t>
      </w:r>
      <w:r w:rsidRPr="00402B6A">
        <w:rPr>
          <w:rFonts w:eastAsia="Times New Roman"/>
          <w:sz w:val="20"/>
          <w:szCs w:val="20"/>
        </w:rPr>
        <w:t>dicate services provided by a PTA.</w:t>
      </w:r>
    </w:p>
    <w:p w14:paraId="2BC0D0F6" w14:textId="77777777" w:rsidR="00402B6A" w:rsidRPr="00402B6A" w:rsidRDefault="00402B6A" w:rsidP="00402B6A">
      <w:pPr>
        <w:spacing w:line="240" w:lineRule="auto"/>
        <w:rPr>
          <w:rFonts w:eastAsia="Times New Roman"/>
          <w:sz w:val="20"/>
          <w:szCs w:val="20"/>
        </w:rPr>
      </w:pPr>
    </w:p>
    <w:p w14:paraId="0000002A" w14:textId="77777777" w:rsidR="002970F5" w:rsidRPr="00402B6A" w:rsidRDefault="000F2E7E" w:rsidP="00402B6A">
      <w:pPr>
        <w:spacing w:line="240" w:lineRule="auto"/>
        <w:rPr>
          <w:rFonts w:eastAsia="Times New Roman"/>
          <w:sz w:val="20"/>
          <w:szCs w:val="20"/>
        </w:rPr>
      </w:pPr>
      <w:r w:rsidRPr="00402B6A">
        <w:rPr>
          <w:rFonts w:eastAsia="Times New Roman"/>
          <w:sz w:val="20"/>
          <w:szCs w:val="20"/>
        </w:rPr>
        <w:t xml:space="preserve">The new modifiers will trigger payment at 85% of the applicable fee schedule rate beginning in 2022. APTA has opposed the payment differential, which is required by law. </w:t>
      </w:r>
    </w:p>
    <w:p w14:paraId="0000002B" w14:textId="77777777" w:rsidR="002970F5" w:rsidRPr="00402B6A" w:rsidRDefault="002970F5" w:rsidP="00402B6A">
      <w:pPr>
        <w:spacing w:line="240" w:lineRule="auto"/>
        <w:rPr>
          <w:rFonts w:eastAsia="Times New Roman"/>
          <w:sz w:val="20"/>
          <w:szCs w:val="20"/>
        </w:rPr>
      </w:pPr>
    </w:p>
    <w:p w14:paraId="0000002C" w14:textId="6930EF44" w:rsidR="002970F5" w:rsidRPr="00402B6A" w:rsidRDefault="000F2E7E" w:rsidP="00402B6A">
      <w:pPr>
        <w:spacing w:line="240" w:lineRule="auto"/>
        <w:rPr>
          <w:rFonts w:eastAsia="Times New Roman"/>
          <w:sz w:val="20"/>
          <w:szCs w:val="20"/>
        </w:rPr>
      </w:pPr>
      <w:r w:rsidRPr="00402B6A">
        <w:rPr>
          <w:rFonts w:eastAsia="Times New Roman"/>
          <w:sz w:val="20"/>
          <w:szCs w:val="20"/>
        </w:rPr>
        <w:t xml:space="preserve">To help members prepare for the change, the </w:t>
      </w:r>
      <w:r w:rsidR="00402B6A">
        <w:rPr>
          <w:rFonts w:eastAsia="Times New Roman"/>
          <w:sz w:val="20"/>
          <w:szCs w:val="20"/>
        </w:rPr>
        <w:t>A</w:t>
      </w:r>
      <w:r w:rsidRPr="00402B6A">
        <w:rPr>
          <w:rFonts w:eastAsia="Times New Roman"/>
          <w:sz w:val="20"/>
          <w:szCs w:val="20"/>
        </w:rPr>
        <w:t>ssoc</w:t>
      </w:r>
      <w:r w:rsidRPr="00402B6A">
        <w:rPr>
          <w:rFonts w:eastAsia="Times New Roman"/>
          <w:sz w:val="20"/>
          <w:szCs w:val="20"/>
        </w:rPr>
        <w:t xml:space="preserve">iation created a </w:t>
      </w:r>
      <w:hyperlink r:id="rId9">
        <w:r w:rsidRPr="000F2E7E">
          <w:rPr>
            <w:rFonts w:eastAsia="Times New Roman"/>
            <w:b/>
            <w:bCs/>
            <w:color w:val="0070C0"/>
            <w:sz w:val="20"/>
            <w:szCs w:val="20"/>
          </w:rPr>
          <w:t>Quick Guide To Using the PTA Modifier</w:t>
        </w:r>
        <w:r w:rsidRPr="00402B6A">
          <w:rPr>
            <w:rFonts w:eastAsia="Times New Roman"/>
            <w:sz w:val="20"/>
            <w:szCs w:val="20"/>
          </w:rPr>
          <w:t xml:space="preserve">, </w:t>
        </w:r>
      </w:hyperlink>
      <w:r w:rsidRPr="00402B6A">
        <w:rPr>
          <w:rFonts w:eastAsia="Times New Roman"/>
          <w:sz w:val="20"/>
          <w:szCs w:val="20"/>
        </w:rPr>
        <w:t>which has been updated to reflect the new guidance from CMS. Li</w:t>
      </w:r>
      <w:r w:rsidRPr="00402B6A">
        <w:rPr>
          <w:rFonts w:eastAsia="Times New Roman"/>
          <w:sz w:val="20"/>
          <w:szCs w:val="20"/>
        </w:rPr>
        <w:t>ke the CMS resource, the guide contains examples, and includes a handy reference chart and tips on documentation.</w:t>
      </w:r>
    </w:p>
    <w:p w14:paraId="0000002D" w14:textId="77777777" w:rsidR="002970F5" w:rsidRPr="00402B6A" w:rsidRDefault="002970F5" w:rsidP="00402B6A">
      <w:pPr>
        <w:spacing w:line="240" w:lineRule="auto"/>
        <w:rPr>
          <w:rFonts w:eastAsia="Times New Roman"/>
          <w:sz w:val="20"/>
          <w:szCs w:val="20"/>
        </w:rPr>
      </w:pPr>
    </w:p>
    <w:p w14:paraId="0000002E" w14:textId="77777777" w:rsidR="002970F5" w:rsidRPr="00402B6A" w:rsidRDefault="000F2E7E" w:rsidP="00402B6A">
      <w:pPr>
        <w:spacing w:line="240" w:lineRule="auto"/>
        <w:rPr>
          <w:rFonts w:eastAsia="Times New Roman"/>
          <w:sz w:val="20"/>
          <w:szCs w:val="20"/>
        </w:rPr>
      </w:pPr>
      <w:r w:rsidRPr="00402B6A">
        <w:rPr>
          <w:rFonts w:eastAsia="Times New Roman"/>
          <w:sz w:val="20"/>
          <w:szCs w:val="20"/>
        </w:rPr>
        <w:t>Additional resources:</w:t>
      </w:r>
    </w:p>
    <w:p w14:paraId="0000002F" w14:textId="77777777" w:rsidR="002970F5" w:rsidRPr="000F2E7E" w:rsidRDefault="000F2E7E" w:rsidP="00402B6A">
      <w:pPr>
        <w:pStyle w:val="ListParagraph"/>
        <w:numPr>
          <w:ilvl w:val="0"/>
          <w:numId w:val="6"/>
        </w:numPr>
        <w:spacing w:line="240" w:lineRule="auto"/>
        <w:rPr>
          <w:rFonts w:eastAsia="Times New Roman"/>
          <w:b/>
          <w:bCs/>
          <w:color w:val="0070C0"/>
          <w:sz w:val="20"/>
          <w:szCs w:val="20"/>
        </w:rPr>
      </w:pPr>
      <w:hyperlink r:id="rId10">
        <w:r w:rsidRPr="000F2E7E">
          <w:rPr>
            <w:rFonts w:eastAsia="Times New Roman"/>
            <w:b/>
            <w:bCs/>
            <w:color w:val="0070C0"/>
            <w:sz w:val="20"/>
            <w:szCs w:val="20"/>
          </w:rPr>
          <w:t>Ho</w:t>
        </w:r>
        <w:r w:rsidRPr="000F2E7E">
          <w:rPr>
            <w:rFonts w:eastAsia="Times New Roman"/>
            <w:b/>
            <w:bCs/>
            <w:color w:val="0070C0"/>
            <w:sz w:val="20"/>
            <w:szCs w:val="20"/>
          </w:rPr>
          <w:t>w To Apply the New CQ Modifier</w:t>
        </w:r>
      </w:hyperlink>
    </w:p>
    <w:p w14:paraId="00000030" w14:textId="77777777" w:rsidR="002970F5" w:rsidRPr="000F2E7E" w:rsidRDefault="000F2E7E" w:rsidP="00402B6A">
      <w:pPr>
        <w:pStyle w:val="ListParagraph"/>
        <w:numPr>
          <w:ilvl w:val="0"/>
          <w:numId w:val="6"/>
        </w:numPr>
        <w:spacing w:line="240" w:lineRule="auto"/>
        <w:rPr>
          <w:rFonts w:eastAsia="Times New Roman"/>
          <w:b/>
          <w:bCs/>
          <w:color w:val="0070C0"/>
          <w:sz w:val="20"/>
          <w:szCs w:val="20"/>
        </w:rPr>
      </w:pPr>
      <w:hyperlink r:id="rId11">
        <w:r w:rsidRPr="000F2E7E">
          <w:rPr>
            <w:rFonts w:eastAsia="Times New Roman"/>
            <w:b/>
            <w:bCs/>
            <w:color w:val="0070C0"/>
            <w:sz w:val="20"/>
            <w:szCs w:val="20"/>
          </w:rPr>
          <w:t>The PTA Differential: How We Got Here, and What's Next</w:t>
        </w:r>
      </w:hyperlink>
    </w:p>
    <w:p w14:paraId="00000031" w14:textId="77777777" w:rsidR="002970F5" w:rsidRPr="000F2E7E" w:rsidRDefault="000F2E7E" w:rsidP="00402B6A">
      <w:pPr>
        <w:pStyle w:val="ListParagraph"/>
        <w:numPr>
          <w:ilvl w:val="0"/>
          <w:numId w:val="6"/>
        </w:numPr>
        <w:spacing w:line="240" w:lineRule="auto"/>
        <w:rPr>
          <w:rFonts w:eastAsia="Times New Roman"/>
          <w:b/>
          <w:bCs/>
          <w:color w:val="0070C0"/>
          <w:sz w:val="20"/>
          <w:szCs w:val="20"/>
        </w:rPr>
      </w:pPr>
      <w:hyperlink r:id="rId12">
        <w:r w:rsidRPr="000F2E7E">
          <w:rPr>
            <w:rFonts w:eastAsia="Times New Roman"/>
            <w:b/>
            <w:bCs/>
            <w:color w:val="0070C0"/>
            <w:sz w:val="20"/>
            <w:szCs w:val="20"/>
          </w:rPr>
          <w:t>https://www.apta.org/news/2021/03/08/cq-modifier-update-march-2021</w:t>
        </w:r>
      </w:hyperlink>
      <w:r w:rsidRPr="000F2E7E">
        <w:rPr>
          <w:rFonts w:eastAsia="Times New Roman"/>
          <w:b/>
          <w:bCs/>
          <w:color w:val="0070C0"/>
          <w:sz w:val="20"/>
          <w:szCs w:val="20"/>
        </w:rPr>
        <w:t xml:space="preserve"> </w:t>
      </w:r>
    </w:p>
    <w:p w14:paraId="00000032" w14:textId="77777777" w:rsidR="002970F5" w:rsidRPr="00402B6A" w:rsidRDefault="002970F5" w:rsidP="00402B6A">
      <w:pPr>
        <w:spacing w:line="240" w:lineRule="auto"/>
        <w:rPr>
          <w:rFonts w:eastAsia="Times New Roman"/>
          <w:sz w:val="20"/>
          <w:szCs w:val="20"/>
        </w:rPr>
      </w:pPr>
    </w:p>
    <w:p w14:paraId="00000033" w14:textId="3D34A589" w:rsidR="002970F5" w:rsidRPr="00402B6A" w:rsidRDefault="000F2E7E" w:rsidP="00402B6A">
      <w:pPr>
        <w:spacing w:line="240" w:lineRule="auto"/>
        <w:rPr>
          <w:rFonts w:eastAsia="Times New Roman"/>
          <w:b/>
          <w:sz w:val="20"/>
          <w:szCs w:val="20"/>
        </w:rPr>
      </w:pPr>
      <w:r w:rsidRPr="00402B6A">
        <w:rPr>
          <w:rFonts w:eastAsia="Times New Roman"/>
          <w:b/>
          <w:sz w:val="20"/>
          <w:szCs w:val="20"/>
        </w:rPr>
        <w:t xml:space="preserve">Merit-Based Incentive Payment System (MIPS) </w:t>
      </w:r>
      <w:r w:rsidR="00402B6A">
        <w:rPr>
          <w:rFonts w:eastAsia="Times New Roman"/>
          <w:b/>
          <w:sz w:val="20"/>
          <w:szCs w:val="20"/>
        </w:rPr>
        <w:t>D</w:t>
      </w:r>
      <w:r w:rsidRPr="00402B6A">
        <w:rPr>
          <w:rFonts w:eastAsia="Times New Roman"/>
          <w:b/>
          <w:sz w:val="20"/>
          <w:szCs w:val="20"/>
        </w:rPr>
        <w:t xml:space="preserve">eadline </w:t>
      </w:r>
      <w:r w:rsidR="00402B6A">
        <w:rPr>
          <w:rFonts w:eastAsia="Times New Roman"/>
          <w:b/>
          <w:sz w:val="20"/>
          <w:szCs w:val="20"/>
        </w:rPr>
        <w:t>E</w:t>
      </w:r>
      <w:r w:rsidRPr="00402B6A">
        <w:rPr>
          <w:rFonts w:eastAsia="Times New Roman"/>
          <w:b/>
          <w:sz w:val="20"/>
          <w:szCs w:val="20"/>
        </w:rPr>
        <w:t>xtension</w:t>
      </w:r>
    </w:p>
    <w:p w14:paraId="00000035" w14:textId="77777777" w:rsidR="002970F5" w:rsidRPr="00402B6A" w:rsidRDefault="000F2E7E" w:rsidP="00402B6A">
      <w:pPr>
        <w:spacing w:line="240" w:lineRule="auto"/>
        <w:rPr>
          <w:rFonts w:eastAsia="Times New Roman"/>
          <w:sz w:val="20"/>
          <w:szCs w:val="20"/>
        </w:rPr>
      </w:pPr>
      <w:r w:rsidRPr="00402B6A">
        <w:rPr>
          <w:rFonts w:eastAsia="Times New Roman"/>
          <w:sz w:val="20"/>
          <w:szCs w:val="20"/>
        </w:rPr>
        <w:t>CMS reopened an application process tha</w:t>
      </w:r>
      <w:r w:rsidRPr="00402B6A">
        <w:rPr>
          <w:rFonts w:eastAsia="Times New Roman"/>
          <w:sz w:val="20"/>
          <w:szCs w:val="20"/>
        </w:rPr>
        <w:t>t allows providers to reweight categories in light of "extreme and uncontrollable circumstances" related to the COVID-19 pandemic. The deadline for application is now March 31.</w:t>
      </w:r>
    </w:p>
    <w:p w14:paraId="00000036" w14:textId="77777777" w:rsidR="002970F5" w:rsidRPr="00402B6A" w:rsidRDefault="002970F5" w:rsidP="00402B6A">
      <w:pPr>
        <w:spacing w:line="240" w:lineRule="auto"/>
        <w:rPr>
          <w:rFonts w:eastAsia="Times New Roman"/>
          <w:sz w:val="20"/>
          <w:szCs w:val="20"/>
        </w:rPr>
      </w:pPr>
    </w:p>
    <w:p w14:paraId="00000037" w14:textId="27BF4FFD" w:rsidR="002970F5" w:rsidRPr="00402B6A" w:rsidRDefault="000F2E7E" w:rsidP="00402B6A">
      <w:pPr>
        <w:spacing w:line="240" w:lineRule="auto"/>
        <w:rPr>
          <w:rFonts w:eastAsia="Times New Roman"/>
          <w:sz w:val="20"/>
          <w:szCs w:val="20"/>
        </w:rPr>
      </w:pPr>
      <w:r w:rsidRPr="00402B6A">
        <w:rPr>
          <w:rFonts w:eastAsia="Times New Roman"/>
          <w:sz w:val="20"/>
          <w:szCs w:val="20"/>
        </w:rPr>
        <w:t>CMS’</w:t>
      </w:r>
      <w:r w:rsidRPr="00402B6A">
        <w:rPr>
          <w:rFonts w:eastAsia="Times New Roman"/>
          <w:sz w:val="20"/>
          <w:szCs w:val="20"/>
        </w:rPr>
        <w:t xml:space="preserve"> Quality Payment Program will allow clinicians to apply for a reweighting of any or all MIPS performance categories to 0% for performance year 2020. The option is known as the "</w:t>
      </w:r>
      <w:hyperlink r:id="rId13" w:anchor="promotingInteroperabilityHardshipException-2020">
        <w:r w:rsidRPr="000F2E7E">
          <w:rPr>
            <w:rFonts w:eastAsia="Times New Roman"/>
            <w:b/>
            <w:bCs/>
            <w:color w:val="0070C0"/>
            <w:sz w:val="20"/>
            <w:szCs w:val="20"/>
          </w:rPr>
          <w:t>Extreme and Uncontrollable Circumstances Exception</w:t>
        </w:r>
      </w:hyperlink>
      <w:r w:rsidRPr="00402B6A">
        <w:rPr>
          <w:rFonts w:eastAsia="Times New Roman"/>
          <w:sz w:val="20"/>
          <w:szCs w:val="20"/>
        </w:rPr>
        <w:t>."</w:t>
      </w:r>
    </w:p>
    <w:p w14:paraId="00000038" w14:textId="77777777" w:rsidR="002970F5" w:rsidRPr="00402B6A" w:rsidRDefault="002970F5" w:rsidP="00402B6A">
      <w:pPr>
        <w:spacing w:line="240" w:lineRule="auto"/>
        <w:rPr>
          <w:rFonts w:eastAsia="Times New Roman"/>
          <w:sz w:val="20"/>
          <w:szCs w:val="20"/>
        </w:rPr>
      </w:pPr>
    </w:p>
    <w:p w14:paraId="00000039" w14:textId="65CD1B2F" w:rsidR="002970F5" w:rsidRPr="00402B6A" w:rsidRDefault="000F2E7E" w:rsidP="00402B6A">
      <w:pPr>
        <w:spacing w:line="240" w:lineRule="auto"/>
        <w:rPr>
          <w:rFonts w:eastAsia="Times New Roman"/>
          <w:sz w:val="20"/>
          <w:szCs w:val="20"/>
        </w:rPr>
      </w:pPr>
      <w:r w:rsidRPr="00402B6A">
        <w:rPr>
          <w:rFonts w:eastAsia="Times New Roman"/>
          <w:sz w:val="20"/>
          <w:szCs w:val="20"/>
        </w:rPr>
        <w:t>Check APTA’s article</w:t>
      </w:r>
      <w:r w:rsidR="00402B6A">
        <w:rPr>
          <w:rFonts w:eastAsia="Times New Roman"/>
          <w:sz w:val="20"/>
          <w:szCs w:val="20"/>
        </w:rPr>
        <w:t>,</w:t>
      </w:r>
      <w:r w:rsidRPr="00402B6A">
        <w:rPr>
          <w:rFonts w:eastAsia="Times New Roman"/>
          <w:sz w:val="20"/>
          <w:szCs w:val="20"/>
        </w:rPr>
        <w:t xml:space="preserve"> </w:t>
      </w:r>
      <w:hyperlink r:id="rId14">
        <w:r w:rsidRPr="000F2E7E">
          <w:rPr>
            <w:rFonts w:eastAsia="Times New Roman"/>
            <w:b/>
            <w:bCs/>
            <w:color w:val="0070C0"/>
            <w:sz w:val="20"/>
            <w:szCs w:val="20"/>
          </w:rPr>
          <w:t>Providers Get Another chance at MIPS Reporting Relief</w:t>
        </w:r>
      </w:hyperlink>
      <w:r w:rsidR="00402B6A" w:rsidRPr="00402B6A">
        <w:rPr>
          <w:rFonts w:eastAsia="Times New Roman"/>
          <w:sz w:val="20"/>
          <w:szCs w:val="20"/>
        </w:rPr>
        <w:t>,</w:t>
      </w:r>
      <w:r w:rsidRPr="00402B6A">
        <w:rPr>
          <w:rFonts w:eastAsia="Times New Roman"/>
          <w:sz w:val="20"/>
          <w:szCs w:val="20"/>
        </w:rPr>
        <w:t xml:space="preserve"> </w:t>
      </w:r>
      <w:r w:rsidRPr="00402B6A">
        <w:rPr>
          <w:rFonts w:eastAsia="Times New Roman"/>
          <w:sz w:val="20"/>
          <w:szCs w:val="20"/>
        </w:rPr>
        <w:t>for more information.</w:t>
      </w:r>
    </w:p>
    <w:p w14:paraId="0000003A" w14:textId="77777777" w:rsidR="002970F5" w:rsidRPr="00402B6A" w:rsidRDefault="002970F5" w:rsidP="00402B6A">
      <w:pPr>
        <w:spacing w:line="240" w:lineRule="auto"/>
        <w:jc w:val="center"/>
        <w:rPr>
          <w:rFonts w:eastAsia="Times New Roman"/>
          <w:b/>
          <w:sz w:val="20"/>
          <w:szCs w:val="20"/>
        </w:rPr>
      </w:pPr>
    </w:p>
    <w:p w14:paraId="0000003B" w14:textId="77777777" w:rsidR="002970F5" w:rsidRPr="00402B6A" w:rsidRDefault="000F2E7E" w:rsidP="00402B6A">
      <w:pPr>
        <w:spacing w:line="240" w:lineRule="auto"/>
        <w:rPr>
          <w:rFonts w:eastAsia="Times New Roman"/>
          <w:b/>
          <w:caps/>
          <w:sz w:val="20"/>
          <w:szCs w:val="20"/>
        </w:rPr>
      </w:pPr>
      <w:r w:rsidRPr="00402B6A">
        <w:rPr>
          <w:rFonts w:eastAsia="Times New Roman"/>
          <w:b/>
          <w:caps/>
          <w:sz w:val="20"/>
          <w:szCs w:val="20"/>
        </w:rPr>
        <w:t>HHS Office of National Coordinator of Health Information Technology (ONC)</w:t>
      </w:r>
    </w:p>
    <w:p w14:paraId="0000003C" w14:textId="77777777" w:rsidR="002970F5" w:rsidRPr="00402B6A" w:rsidRDefault="002970F5" w:rsidP="00402B6A">
      <w:pPr>
        <w:spacing w:line="240" w:lineRule="auto"/>
        <w:jc w:val="center"/>
        <w:rPr>
          <w:rFonts w:eastAsia="Times New Roman"/>
          <w:b/>
          <w:sz w:val="20"/>
          <w:szCs w:val="20"/>
        </w:rPr>
      </w:pPr>
    </w:p>
    <w:p w14:paraId="0000003D" w14:textId="77777777" w:rsidR="002970F5" w:rsidRPr="00402B6A" w:rsidRDefault="000F2E7E" w:rsidP="00402B6A">
      <w:pPr>
        <w:spacing w:line="240" w:lineRule="auto"/>
        <w:rPr>
          <w:rFonts w:eastAsia="Times New Roman"/>
          <w:b/>
          <w:sz w:val="20"/>
          <w:szCs w:val="20"/>
        </w:rPr>
      </w:pPr>
      <w:r w:rsidRPr="00402B6A">
        <w:rPr>
          <w:rFonts w:eastAsia="Times New Roman"/>
          <w:b/>
          <w:sz w:val="20"/>
          <w:szCs w:val="20"/>
        </w:rPr>
        <w:t>Information Blocking</w:t>
      </w:r>
    </w:p>
    <w:p w14:paraId="0000003F" w14:textId="77777777" w:rsidR="002970F5" w:rsidRPr="00402B6A" w:rsidRDefault="000F2E7E" w:rsidP="00402B6A">
      <w:pPr>
        <w:spacing w:line="240" w:lineRule="auto"/>
        <w:rPr>
          <w:rFonts w:eastAsia="Times New Roman"/>
          <w:sz w:val="20"/>
          <w:szCs w:val="20"/>
        </w:rPr>
      </w:pPr>
      <w:r w:rsidRPr="00402B6A">
        <w:rPr>
          <w:rFonts w:eastAsia="Times New Roman"/>
          <w:sz w:val="20"/>
          <w:szCs w:val="20"/>
        </w:rPr>
        <w:t xml:space="preserve">The new information blocking rules take effect April 5, 2021. APTA </w:t>
      </w:r>
      <w:r w:rsidRPr="00402B6A">
        <w:rPr>
          <w:rFonts w:eastAsia="Times New Roman"/>
          <w:sz w:val="20"/>
          <w:szCs w:val="20"/>
        </w:rPr>
        <w:t xml:space="preserve">has issued a </w:t>
      </w:r>
      <w:hyperlink r:id="rId15">
        <w:r w:rsidRPr="000F2E7E">
          <w:rPr>
            <w:rFonts w:eastAsia="Times New Roman"/>
            <w:b/>
            <w:bCs/>
            <w:color w:val="0070C0"/>
            <w:sz w:val="20"/>
            <w:szCs w:val="20"/>
          </w:rPr>
          <w:t>practice advisory</w:t>
        </w:r>
      </w:hyperlink>
      <w:r w:rsidRPr="00402B6A">
        <w:rPr>
          <w:rFonts w:eastAsia="Times New Roman"/>
          <w:sz w:val="20"/>
          <w:szCs w:val="20"/>
        </w:rPr>
        <w:t xml:space="preserve"> for practice owners and organization administrators, staff PTs and PTAs</w:t>
      </w:r>
      <w:r w:rsidRPr="00402B6A">
        <w:rPr>
          <w:rFonts w:eastAsia="Times New Roman"/>
          <w:sz w:val="20"/>
          <w:szCs w:val="20"/>
        </w:rPr>
        <w:t xml:space="preserve">, and health IT developers to understand and prepare for the opportunities and implications of this new rule. </w:t>
      </w:r>
    </w:p>
    <w:p w14:paraId="00000040" w14:textId="77777777" w:rsidR="002970F5" w:rsidRPr="00402B6A" w:rsidRDefault="002970F5" w:rsidP="00402B6A">
      <w:pPr>
        <w:spacing w:line="240" w:lineRule="auto"/>
        <w:rPr>
          <w:rFonts w:eastAsia="Times New Roman"/>
          <w:sz w:val="20"/>
          <w:szCs w:val="20"/>
        </w:rPr>
      </w:pPr>
    </w:p>
    <w:p w14:paraId="00000041" w14:textId="77777777" w:rsidR="002970F5" w:rsidRPr="00402B6A" w:rsidRDefault="000F2E7E" w:rsidP="00402B6A">
      <w:pPr>
        <w:spacing w:line="240" w:lineRule="auto"/>
        <w:rPr>
          <w:rFonts w:eastAsia="Times New Roman"/>
          <w:sz w:val="20"/>
          <w:szCs w:val="20"/>
        </w:rPr>
      </w:pPr>
      <w:r w:rsidRPr="00402B6A">
        <w:rPr>
          <w:rFonts w:eastAsia="Times New Roman"/>
          <w:sz w:val="20"/>
          <w:szCs w:val="20"/>
        </w:rPr>
        <w:t xml:space="preserve">ONC defines information blocking as “practices likely to interfere with, prevent or materially discourage access, exchange or use of electronic </w:t>
      </w:r>
      <w:r w:rsidRPr="00402B6A">
        <w:rPr>
          <w:rFonts w:eastAsia="Times New Roman"/>
          <w:sz w:val="20"/>
          <w:szCs w:val="20"/>
        </w:rPr>
        <w:t xml:space="preserve">health information.” The rule defines what electronic health information health care providers including PTs and other entities must make available, and establishes eight exceptions to the rule. </w:t>
      </w:r>
    </w:p>
    <w:p w14:paraId="00000042" w14:textId="77777777" w:rsidR="002970F5" w:rsidRPr="00402B6A" w:rsidRDefault="002970F5" w:rsidP="00402B6A">
      <w:pPr>
        <w:spacing w:line="240" w:lineRule="auto"/>
        <w:rPr>
          <w:rFonts w:eastAsia="Times New Roman"/>
          <w:sz w:val="20"/>
          <w:szCs w:val="20"/>
        </w:rPr>
      </w:pPr>
    </w:p>
    <w:p w14:paraId="00000043" w14:textId="3B3D22A2" w:rsidR="002970F5" w:rsidRPr="00402B6A" w:rsidRDefault="000F2E7E" w:rsidP="00402B6A">
      <w:pPr>
        <w:spacing w:line="240" w:lineRule="auto"/>
        <w:rPr>
          <w:rFonts w:eastAsia="Times New Roman"/>
          <w:sz w:val="20"/>
          <w:szCs w:val="20"/>
        </w:rPr>
      </w:pPr>
      <w:r w:rsidRPr="00402B6A">
        <w:rPr>
          <w:rFonts w:eastAsia="Times New Roman"/>
          <w:sz w:val="20"/>
          <w:szCs w:val="20"/>
        </w:rPr>
        <w:t>Under the rule, IT developers and health care providers wil</w:t>
      </w:r>
      <w:r w:rsidRPr="00402B6A">
        <w:rPr>
          <w:rFonts w:eastAsia="Times New Roman"/>
          <w:sz w:val="20"/>
          <w:szCs w:val="20"/>
        </w:rPr>
        <w:t xml:space="preserve">l be required to avoid excessive restrictions on EHI accessibility, exchange, and use of everything from limits on patient access to their data to interoperability problems that make it difficult for providers to share data with each other when needed. </w:t>
      </w:r>
      <w:r w:rsidRPr="00402B6A">
        <w:rPr>
          <w:rFonts w:eastAsia="Times New Roman"/>
          <w:sz w:val="20"/>
          <w:szCs w:val="20"/>
        </w:rPr>
        <w:t xml:space="preserve">A </w:t>
      </w:r>
      <w:r w:rsidRPr="00402B6A">
        <w:rPr>
          <w:rFonts w:eastAsia="Times New Roman"/>
          <w:sz w:val="20"/>
          <w:szCs w:val="20"/>
        </w:rPr>
        <w:t>thorough understanding of what information blocking means, and how you can comply with the rule, is an essential part of PT practice.</w:t>
      </w:r>
    </w:p>
    <w:p w14:paraId="00000044" w14:textId="77777777" w:rsidR="002970F5" w:rsidRPr="00402B6A" w:rsidRDefault="002970F5" w:rsidP="00402B6A">
      <w:pPr>
        <w:spacing w:line="240" w:lineRule="auto"/>
        <w:rPr>
          <w:rFonts w:eastAsia="Times New Roman"/>
          <w:sz w:val="20"/>
          <w:szCs w:val="20"/>
        </w:rPr>
      </w:pPr>
    </w:p>
    <w:p w14:paraId="00000045" w14:textId="33667380" w:rsidR="002970F5" w:rsidRPr="00402B6A" w:rsidRDefault="000F2E7E" w:rsidP="00402B6A">
      <w:pPr>
        <w:spacing w:line="240" w:lineRule="auto"/>
        <w:rPr>
          <w:rFonts w:eastAsia="Times New Roman"/>
          <w:sz w:val="20"/>
          <w:szCs w:val="20"/>
        </w:rPr>
      </w:pPr>
      <w:r w:rsidRPr="00402B6A">
        <w:rPr>
          <w:rFonts w:eastAsia="Times New Roman"/>
          <w:sz w:val="20"/>
          <w:szCs w:val="20"/>
        </w:rPr>
        <w:t>For more information</w:t>
      </w:r>
      <w:r w:rsidR="00BE6E6E">
        <w:rPr>
          <w:rFonts w:eastAsia="Times New Roman"/>
          <w:sz w:val="20"/>
          <w:szCs w:val="20"/>
        </w:rPr>
        <w:t>,</w:t>
      </w:r>
      <w:r w:rsidRPr="00402B6A">
        <w:rPr>
          <w:rFonts w:eastAsia="Times New Roman"/>
          <w:sz w:val="20"/>
          <w:szCs w:val="20"/>
        </w:rPr>
        <w:t xml:space="preserve"> please check out this recent </w:t>
      </w:r>
      <w:hyperlink r:id="rId16">
        <w:r w:rsidRPr="000F2E7E">
          <w:rPr>
            <w:rFonts w:eastAsia="Times New Roman"/>
            <w:b/>
            <w:bCs/>
            <w:color w:val="0070C0"/>
            <w:sz w:val="20"/>
            <w:szCs w:val="20"/>
          </w:rPr>
          <w:t>podcast</w:t>
        </w:r>
      </w:hyperlink>
      <w:r w:rsidRPr="00402B6A">
        <w:rPr>
          <w:rFonts w:eastAsia="Times New Roman"/>
          <w:sz w:val="20"/>
          <w:szCs w:val="20"/>
        </w:rPr>
        <w:t xml:space="preserve"> from APTA on the topic and refer to November 2020’s APTA Indiana Practice and Payment Update for additional resources. </w:t>
      </w:r>
    </w:p>
    <w:p w14:paraId="00000046" w14:textId="77777777" w:rsidR="002970F5" w:rsidRPr="00402B6A" w:rsidRDefault="002970F5" w:rsidP="00402B6A">
      <w:pPr>
        <w:spacing w:line="240" w:lineRule="auto"/>
        <w:rPr>
          <w:rFonts w:eastAsia="Times New Roman"/>
          <w:sz w:val="20"/>
          <w:szCs w:val="20"/>
        </w:rPr>
      </w:pPr>
    </w:p>
    <w:p w14:paraId="00000047" w14:textId="6ABD8C91" w:rsidR="002970F5" w:rsidRPr="00402B6A" w:rsidRDefault="000F2E7E" w:rsidP="00BE6E6E">
      <w:pPr>
        <w:spacing w:line="240" w:lineRule="auto"/>
        <w:rPr>
          <w:rFonts w:eastAsia="Times New Roman"/>
          <w:b/>
          <w:sz w:val="20"/>
          <w:szCs w:val="20"/>
        </w:rPr>
      </w:pPr>
      <w:r w:rsidRPr="00402B6A">
        <w:rPr>
          <w:rFonts w:eastAsia="Times New Roman"/>
          <w:b/>
          <w:sz w:val="20"/>
          <w:szCs w:val="20"/>
        </w:rPr>
        <w:t xml:space="preserve">APTA Guidance: Recent Identified Contracting </w:t>
      </w:r>
      <w:r w:rsidR="00BE6E6E">
        <w:rPr>
          <w:rFonts w:eastAsia="Times New Roman"/>
          <w:b/>
          <w:sz w:val="20"/>
          <w:szCs w:val="20"/>
        </w:rPr>
        <w:t>I</w:t>
      </w:r>
      <w:r w:rsidRPr="00402B6A">
        <w:rPr>
          <w:rFonts w:eastAsia="Times New Roman"/>
          <w:b/>
          <w:sz w:val="20"/>
          <w:szCs w:val="20"/>
        </w:rPr>
        <w:t xml:space="preserve">ssues </w:t>
      </w:r>
    </w:p>
    <w:p w14:paraId="00000049" w14:textId="04C680A1" w:rsidR="002970F5" w:rsidRDefault="000F2E7E" w:rsidP="00402B6A">
      <w:pPr>
        <w:spacing w:line="240" w:lineRule="auto"/>
        <w:rPr>
          <w:rFonts w:eastAsia="Times New Roman"/>
          <w:sz w:val="20"/>
          <w:szCs w:val="20"/>
        </w:rPr>
      </w:pPr>
      <w:r w:rsidRPr="00402B6A">
        <w:rPr>
          <w:rFonts w:eastAsia="Times New Roman"/>
          <w:sz w:val="20"/>
          <w:szCs w:val="20"/>
        </w:rPr>
        <w:t>APTA has seen an increas</w:t>
      </w:r>
      <w:r w:rsidRPr="00402B6A">
        <w:rPr>
          <w:rFonts w:eastAsia="Times New Roman"/>
          <w:sz w:val="20"/>
          <w:szCs w:val="20"/>
        </w:rPr>
        <w:t xml:space="preserve">e in commercial payers applying extrapolation and fees for electronic fund transfers (EFTs) and Virtual Credit Cards (VCCs). </w:t>
      </w:r>
    </w:p>
    <w:p w14:paraId="4E414DD2" w14:textId="77777777" w:rsidR="00BE6E6E" w:rsidRPr="00402B6A" w:rsidRDefault="00BE6E6E" w:rsidP="00402B6A">
      <w:pPr>
        <w:spacing w:line="240" w:lineRule="auto"/>
        <w:rPr>
          <w:rFonts w:eastAsia="Times New Roman"/>
          <w:sz w:val="20"/>
          <w:szCs w:val="20"/>
        </w:rPr>
      </w:pPr>
    </w:p>
    <w:p w14:paraId="0000004A" w14:textId="77777777" w:rsidR="002970F5" w:rsidRPr="00402B6A" w:rsidRDefault="000F2E7E" w:rsidP="00402B6A">
      <w:pPr>
        <w:numPr>
          <w:ilvl w:val="0"/>
          <w:numId w:val="1"/>
        </w:numPr>
        <w:spacing w:line="240" w:lineRule="auto"/>
        <w:rPr>
          <w:rFonts w:eastAsia="Times New Roman"/>
          <w:sz w:val="20"/>
          <w:szCs w:val="20"/>
        </w:rPr>
      </w:pPr>
      <w:r w:rsidRPr="00402B6A">
        <w:rPr>
          <w:rFonts w:eastAsia="Times New Roman"/>
          <w:sz w:val="20"/>
          <w:szCs w:val="20"/>
        </w:rPr>
        <w:t xml:space="preserve">Extrapolation is the use of statistical sampling for overpayment estimation. Traditionally seen with Medicare. </w:t>
      </w:r>
    </w:p>
    <w:p w14:paraId="0000004B" w14:textId="77777777" w:rsidR="002970F5" w:rsidRPr="00402B6A" w:rsidRDefault="000F2E7E" w:rsidP="00402B6A">
      <w:pPr>
        <w:numPr>
          <w:ilvl w:val="0"/>
          <w:numId w:val="1"/>
        </w:numPr>
        <w:spacing w:line="240" w:lineRule="auto"/>
        <w:rPr>
          <w:rFonts w:eastAsia="Times New Roman"/>
          <w:sz w:val="20"/>
          <w:szCs w:val="20"/>
        </w:rPr>
      </w:pPr>
      <w:r w:rsidRPr="00402B6A">
        <w:rPr>
          <w:rFonts w:eastAsia="Times New Roman"/>
          <w:sz w:val="20"/>
          <w:szCs w:val="20"/>
        </w:rPr>
        <w:t xml:space="preserve">Up to a 5% EFT fee has been imposed on providers. </w:t>
      </w:r>
    </w:p>
    <w:p w14:paraId="0000004C" w14:textId="77777777" w:rsidR="002970F5" w:rsidRPr="00402B6A" w:rsidRDefault="000F2E7E" w:rsidP="00402B6A">
      <w:pPr>
        <w:numPr>
          <w:ilvl w:val="0"/>
          <w:numId w:val="1"/>
        </w:numPr>
        <w:spacing w:line="240" w:lineRule="auto"/>
        <w:rPr>
          <w:rFonts w:eastAsia="Times New Roman"/>
          <w:sz w:val="20"/>
          <w:szCs w:val="20"/>
        </w:rPr>
      </w:pPr>
      <w:r w:rsidRPr="00402B6A">
        <w:rPr>
          <w:rFonts w:eastAsia="Times New Roman"/>
          <w:sz w:val="20"/>
          <w:szCs w:val="20"/>
        </w:rPr>
        <w:lastRenderedPageBreak/>
        <w:t xml:space="preserve">Virtual Credit Cards (VCCs) are becoming more common. Up to a 5% fee has been reported to be imposed on the provider. </w:t>
      </w:r>
    </w:p>
    <w:p w14:paraId="0000004D" w14:textId="77777777" w:rsidR="002970F5" w:rsidRPr="00402B6A" w:rsidRDefault="002970F5" w:rsidP="00402B6A">
      <w:pPr>
        <w:spacing w:line="240" w:lineRule="auto"/>
        <w:ind w:left="720"/>
        <w:rPr>
          <w:rFonts w:eastAsia="Times New Roman"/>
          <w:sz w:val="20"/>
          <w:szCs w:val="20"/>
        </w:rPr>
      </w:pPr>
    </w:p>
    <w:p w14:paraId="0000004E" w14:textId="77777777" w:rsidR="002970F5" w:rsidRPr="00402B6A" w:rsidRDefault="000F2E7E" w:rsidP="00402B6A">
      <w:pPr>
        <w:spacing w:line="240" w:lineRule="auto"/>
        <w:rPr>
          <w:rFonts w:eastAsia="Times New Roman"/>
          <w:sz w:val="20"/>
          <w:szCs w:val="20"/>
        </w:rPr>
      </w:pPr>
      <w:r w:rsidRPr="00402B6A">
        <w:rPr>
          <w:rFonts w:eastAsia="Times New Roman"/>
          <w:sz w:val="20"/>
          <w:szCs w:val="20"/>
        </w:rPr>
        <w:t>What Should Providers Do?</w:t>
      </w:r>
    </w:p>
    <w:p w14:paraId="0000004F" w14:textId="77777777" w:rsidR="002970F5" w:rsidRPr="00402B6A" w:rsidRDefault="002970F5" w:rsidP="00402B6A">
      <w:pPr>
        <w:spacing w:line="240" w:lineRule="auto"/>
        <w:rPr>
          <w:rFonts w:eastAsia="Times New Roman"/>
          <w:sz w:val="20"/>
          <w:szCs w:val="20"/>
        </w:rPr>
      </w:pPr>
    </w:p>
    <w:p w14:paraId="00000050" w14:textId="77777777" w:rsidR="002970F5" w:rsidRPr="00402B6A" w:rsidRDefault="000F2E7E" w:rsidP="00402B6A">
      <w:pPr>
        <w:numPr>
          <w:ilvl w:val="0"/>
          <w:numId w:val="2"/>
        </w:numPr>
        <w:spacing w:line="240" w:lineRule="auto"/>
        <w:rPr>
          <w:rFonts w:eastAsia="Times New Roman"/>
          <w:sz w:val="20"/>
          <w:szCs w:val="20"/>
        </w:rPr>
      </w:pPr>
      <w:r w:rsidRPr="00402B6A">
        <w:rPr>
          <w:rFonts w:eastAsia="Times New Roman"/>
          <w:sz w:val="20"/>
          <w:szCs w:val="20"/>
        </w:rPr>
        <w:t>Carefully review payer contracts and all amendments. At mi</w:t>
      </w:r>
      <w:r w:rsidRPr="00402B6A">
        <w:rPr>
          <w:rFonts w:eastAsia="Times New Roman"/>
          <w:sz w:val="20"/>
          <w:szCs w:val="20"/>
        </w:rPr>
        <w:t>nimum, re-review all contracts annually. Keep abreast of payer newsletters.</w:t>
      </w:r>
    </w:p>
    <w:p w14:paraId="00000051" w14:textId="77777777" w:rsidR="002970F5" w:rsidRPr="00402B6A" w:rsidRDefault="000F2E7E" w:rsidP="00402B6A">
      <w:pPr>
        <w:numPr>
          <w:ilvl w:val="0"/>
          <w:numId w:val="2"/>
        </w:numPr>
        <w:spacing w:line="240" w:lineRule="auto"/>
        <w:rPr>
          <w:rFonts w:eastAsia="Times New Roman"/>
          <w:sz w:val="20"/>
          <w:szCs w:val="20"/>
        </w:rPr>
      </w:pPr>
      <w:r w:rsidRPr="00402B6A">
        <w:rPr>
          <w:rFonts w:eastAsia="Times New Roman"/>
          <w:sz w:val="20"/>
          <w:szCs w:val="20"/>
        </w:rPr>
        <w:t>Pay attention to the presence or absence of language related to extrapolation, EFTs and/or VCCs.</w:t>
      </w:r>
    </w:p>
    <w:p w14:paraId="00000052" w14:textId="77777777" w:rsidR="002970F5" w:rsidRPr="00402B6A" w:rsidRDefault="000F2E7E" w:rsidP="00402B6A">
      <w:pPr>
        <w:numPr>
          <w:ilvl w:val="0"/>
          <w:numId w:val="2"/>
        </w:numPr>
        <w:spacing w:line="240" w:lineRule="auto"/>
        <w:rPr>
          <w:rFonts w:eastAsia="Times New Roman"/>
          <w:sz w:val="20"/>
          <w:szCs w:val="20"/>
        </w:rPr>
      </w:pPr>
      <w:r w:rsidRPr="00402B6A">
        <w:rPr>
          <w:rFonts w:eastAsia="Times New Roman"/>
          <w:sz w:val="20"/>
          <w:szCs w:val="20"/>
        </w:rPr>
        <w:t>If extrapolation language is present, ask that it be removed or that a statement be included that extrapolation is prohibited without the provider’s consent.</w:t>
      </w:r>
    </w:p>
    <w:p w14:paraId="00000053" w14:textId="77777777" w:rsidR="002970F5" w:rsidRPr="00402B6A" w:rsidRDefault="000F2E7E" w:rsidP="00402B6A">
      <w:pPr>
        <w:numPr>
          <w:ilvl w:val="0"/>
          <w:numId w:val="2"/>
        </w:numPr>
        <w:spacing w:line="240" w:lineRule="auto"/>
        <w:rPr>
          <w:rFonts w:eastAsia="Times New Roman"/>
          <w:sz w:val="20"/>
          <w:szCs w:val="20"/>
        </w:rPr>
      </w:pPr>
      <w:r w:rsidRPr="00402B6A">
        <w:rPr>
          <w:rFonts w:eastAsia="Times New Roman"/>
          <w:sz w:val="20"/>
          <w:szCs w:val="20"/>
        </w:rPr>
        <w:t xml:space="preserve">Identifying those entities that are unfairly charging for an EFT, contact them and request the no </w:t>
      </w:r>
      <w:r w:rsidRPr="00402B6A">
        <w:rPr>
          <w:rFonts w:eastAsia="Times New Roman"/>
          <w:sz w:val="20"/>
          <w:szCs w:val="20"/>
        </w:rPr>
        <w:t xml:space="preserve">cost version of the EFT transaction. </w:t>
      </w:r>
    </w:p>
    <w:p w14:paraId="00000054" w14:textId="3A534702" w:rsidR="002970F5" w:rsidRPr="00402B6A" w:rsidRDefault="000F2E7E" w:rsidP="00402B6A">
      <w:pPr>
        <w:numPr>
          <w:ilvl w:val="0"/>
          <w:numId w:val="2"/>
        </w:numPr>
        <w:spacing w:line="240" w:lineRule="auto"/>
        <w:rPr>
          <w:rFonts w:eastAsia="Times New Roman"/>
          <w:sz w:val="20"/>
          <w:szCs w:val="20"/>
        </w:rPr>
      </w:pPr>
      <w:r w:rsidRPr="00402B6A">
        <w:rPr>
          <w:rFonts w:eastAsia="Times New Roman"/>
          <w:sz w:val="20"/>
          <w:szCs w:val="20"/>
        </w:rPr>
        <w:t>Challenge virtual credit card payments and/or any associated fees (APTA templates)</w:t>
      </w:r>
      <w:r w:rsidR="00BE6E6E">
        <w:rPr>
          <w:rFonts w:eastAsia="Times New Roman"/>
          <w:sz w:val="20"/>
          <w:szCs w:val="20"/>
        </w:rPr>
        <w:t>.</w:t>
      </w:r>
    </w:p>
    <w:p w14:paraId="00000055" w14:textId="77777777" w:rsidR="002970F5" w:rsidRPr="00402B6A" w:rsidRDefault="000F2E7E" w:rsidP="00402B6A">
      <w:pPr>
        <w:numPr>
          <w:ilvl w:val="0"/>
          <w:numId w:val="2"/>
        </w:numPr>
        <w:spacing w:line="240" w:lineRule="auto"/>
        <w:rPr>
          <w:rFonts w:eastAsia="Times New Roman"/>
          <w:sz w:val="20"/>
          <w:szCs w:val="20"/>
        </w:rPr>
      </w:pPr>
      <w:r w:rsidRPr="00402B6A">
        <w:rPr>
          <w:rFonts w:eastAsia="Times New Roman"/>
          <w:sz w:val="20"/>
          <w:szCs w:val="20"/>
        </w:rPr>
        <w:t>Consult with an attorney for legal counsel and advice.</w:t>
      </w:r>
    </w:p>
    <w:p w14:paraId="00000056" w14:textId="77777777" w:rsidR="002970F5" w:rsidRPr="00402B6A" w:rsidRDefault="002970F5" w:rsidP="00402B6A">
      <w:pPr>
        <w:spacing w:line="240" w:lineRule="auto"/>
        <w:jc w:val="center"/>
        <w:rPr>
          <w:rFonts w:eastAsia="Times New Roman"/>
          <w:b/>
          <w:sz w:val="20"/>
          <w:szCs w:val="20"/>
        </w:rPr>
      </w:pPr>
    </w:p>
    <w:p w14:paraId="00000057" w14:textId="77777777" w:rsidR="002970F5" w:rsidRPr="00BE6E6E" w:rsidRDefault="000F2E7E" w:rsidP="00BE6E6E">
      <w:pPr>
        <w:spacing w:line="240" w:lineRule="auto"/>
        <w:rPr>
          <w:rFonts w:eastAsia="Times New Roman"/>
          <w:b/>
          <w:caps/>
          <w:sz w:val="20"/>
          <w:szCs w:val="20"/>
        </w:rPr>
      </w:pPr>
      <w:r w:rsidRPr="00BE6E6E">
        <w:rPr>
          <w:rFonts w:eastAsia="Times New Roman"/>
          <w:b/>
          <w:caps/>
          <w:sz w:val="20"/>
          <w:szCs w:val="20"/>
        </w:rPr>
        <w:t>NCCI Edit Files</w:t>
      </w:r>
    </w:p>
    <w:p w14:paraId="00000058" w14:textId="77777777" w:rsidR="002970F5" w:rsidRPr="00402B6A" w:rsidRDefault="002970F5" w:rsidP="00402B6A">
      <w:pPr>
        <w:spacing w:line="240" w:lineRule="auto"/>
        <w:rPr>
          <w:rFonts w:eastAsia="Times New Roman"/>
          <w:b/>
          <w:sz w:val="20"/>
          <w:szCs w:val="20"/>
        </w:rPr>
      </w:pPr>
    </w:p>
    <w:p w14:paraId="00000059" w14:textId="651E3ECA" w:rsidR="002970F5" w:rsidRPr="00402B6A" w:rsidRDefault="000F2E7E" w:rsidP="00402B6A">
      <w:pPr>
        <w:spacing w:line="240" w:lineRule="auto"/>
        <w:rPr>
          <w:rFonts w:eastAsia="Times New Roman"/>
          <w:sz w:val="20"/>
          <w:szCs w:val="20"/>
        </w:rPr>
      </w:pPr>
      <w:r w:rsidRPr="00402B6A">
        <w:rPr>
          <w:rFonts w:eastAsia="Times New Roman"/>
          <w:sz w:val="20"/>
          <w:szCs w:val="20"/>
        </w:rPr>
        <w:t xml:space="preserve">Click </w:t>
      </w:r>
      <w:hyperlink r:id="rId17" w:history="1">
        <w:r w:rsidRPr="00BE6E6E">
          <w:rPr>
            <w:rStyle w:val="Hyperlink"/>
            <w:rFonts w:eastAsia="Times New Roman"/>
            <w:b/>
            <w:bCs/>
            <w:color w:val="0070C0"/>
            <w:sz w:val="20"/>
            <w:szCs w:val="20"/>
            <w:u w:val="none"/>
          </w:rPr>
          <w:t>HERE</w:t>
        </w:r>
      </w:hyperlink>
      <w:r w:rsidRPr="00402B6A">
        <w:rPr>
          <w:rFonts w:eastAsia="Times New Roman"/>
          <w:sz w:val="20"/>
          <w:szCs w:val="20"/>
        </w:rPr>
        <w:t xml:space="preserve"> for common physical therapy NCCI edits of </w:t>
      </w:r>
      <w:r w:rsidRPr="00402B6A">
        <w:rPr>
          <w:rFonts w:eastAsia="Times New Roman"/>
          <w:sz w:val="20"/>
          <w:szCs w:val="20"/>
        </w:rPr>
        <w:t>CMS</w:t>
      </w:r>
      <w:r w:rsidR="00BE6E6E">
        <w:rPr>
          <w:rFonts w:eastAsia="Times New Roman"/>
          <w:sz w:val="20"/>
          <w:szCs w:val="20"/>
        </w:rPr>
        <w:t>,</w:t>
      </w:r>
      <w:r w:rsidRPr="00402B6A">
        <w:rPr>
          <w:rFonts w:eastAsia="Times New Roman"/>
          <w:sz w:val="20"/>
          <w:szCs w:val="20"/>
        </w:rPr>
        <w:t xml:space="preserve"> vers</w:t>
      </w:r>
      <w:r w:rsidRPr="00402B6A">
        <w:rPr>
          <w:rFonts w:eastAsia="Times New Roman"/>
          <w:sz w:val="20"/>
          <w:szCs w:val="20"/>
        </w:rPr>
        <w:t>ion 27.1</w:t>
      </w:r>
      <w:r w:rsidR="00BE6E6E">
        <w:rPr>
          <w:rFonts w:eastAsia="Times New Roman"/>
          <w:sz w:val="20"/>
          <w:szCs w:val="20"/>
        </w:rPr>
        <w:t>,</w:t>
      </w:r>
      <w:r w:rsidRPr="00402B6A">
        <w:rPr>
          <w:rFonts w:eastAsia="Times New Roman"/>
          <w:sz w:val="20"/>
          <w:szCs w:val="20"/>
        </w:rPr>
        <w:t xml:space="preserve"> effective 4/1/21 through 6/30/21</w:t>
      </w:r>
      <w:r w:rsidR="00BE6E6E">
        <w:rPr>
          <w:rFonts w:eastAsia="Times New Roman"/>
          <w:sz w:val="20"/>
          <w:szCs w:val="20"/>
        </w:rPr>
        <w:t>,</w:t>
      </w:r>
      <w:r w:rsidRPr="00402B6A">
        <w:rPr>
          <w:rFonts w:eastAsia="Times New Roman"/>
          <w:sz w:val="20"/>
          <w:szCs w:val="20"/>
        </w:rPr>
        <w:t xml:space="preserve"> both for hospitals and private practices</w:t>
      </w:r>
      <w:r w:rsidR="00BE6E6E">
        <w:rPr>
          <w:rFonts w:eastAsia="Times New Roman"/>
          <w:sz w:val="20"/>
          <w:szCs w:val="20"/>
        </w:rPr>
        <w:t>,</w:t>
      </w:r>
      <w:r w:rsidRPr="00402B6A">
        <w:rPr>
          <w:rFonts w:eastAsia="Times New Roman"/>
          <w:sz w:val="20"/>
          <w:szCs w:val="20"/>
        </w:rPr>
        <w:t xml:space="preserve"> unless specifically indicated. Click </w:t>
      </w:r>
      <w:hyperlink r:id="rId18">
        <w:r w:rsidRPr="00BE6E6E">
          <w:rPr>
            <w:rFonts w:eastAsia="Times New Roman"/>
            <w:b/>
            <w:bCs/>
            <w:color w:val="0070C0"/>
            <w:sz w:val="20"/>
            <w:szCs w:val="20"/>
          </w:rPr>
          <w:t>HERE</w:t>
        </w:r>
      </w:hyperlink>
      <w:r w:rsidRPr="00402B6A">
        <w:rPr>
          <w:rFonts w:eastAsia="Times New Roman"/>
          <w:sz w:val="20"/>
          <w:szCs w:val="20"/>
        </w:rPr>
        <w:t xml:space="preserve"> for a full listing of all hospita</w:t>
      </w:r>
      <w:r w:rsidRPr="00402B6A">
        <w:rPr>
          <w:rFonts w:eastAsia="Times New Roman"/>
          <w:sz w:val="20"/>
          <w:szCs w:val="20"/>
        </w:rPr>
        <w:t>l and private practice edits from CMS.</w:t>
      </w:r>
    </w:p>
    <w:p w14:paraId="0000005A" w14:textId="77777777" w:rsidR="002970F5" w:rsidRPr="00402B6A" w:rsidRDefault="002970F5" w:rsidP="00402B6A">
      <w:pPr>
        <w:spacing w:line="240" w:lineRule="auto"/>
        <w:rPr>
          <w:rFonts w:eastAsia="Times New Roman"/>
          <w:b/>
          <w:sz w:val="20"/>
          <w:szCs w:val="20"/>
        </w:rPr>
      </w:pPr>
    </w:p>
    <w:p w14:paraId="0000005B" w14:textId="77777777" w:rsidR="002970F5" w:rsidRPr="00BE6E6E" w:rsidRDefault="000F2E7E" w:rsidP="00BE6E6E">
      <w:pPr>
        <w:spacing w:line="240" w:lineRule="auto"/>
        <w:rPr>
          <w:rFonts w:eastAsia="Times New Roman"/>
          <w:b/>
          <w:caps/>
          <w:sz w:val="20"/>
          <w:szCs w:val="20"/>
        </w:rPr>
      </w:pPr>
      <w:r w:rsidRPr="00BE6E6E">
        <w:rPr>
          <w:rFonts w:eastAsia="Times New Roman"/>
          <w:b/>
          <w:caps/>
          <w:sz w:val="20"/>
          <w:szCs w:val="20"/>
        </w:rPr>
        <w:t>Telemedicine</w:t>
      </w:r>
    </w:p>
    <w:p w14:paraId="0000005C" w14:textId="77777777" w:rsidR="002970F5" w:rsidRPr="00402B6A" w:rsidRDefault="002970F5" w:rsidP="00402B6A">
      <w:pPr>
        <w:spacing w:line="240" w:lineRule="auto"/>
        <w:jc w:val="center"/>
        <w:rPr>
          <w:rFonts w:eastAsia="Times New Roman"/>
          <w:b/>
          <w:sz w:val="20"/>
          <w:szCs w:val="20"/>
        </w:rPr>
      </w:pPr>
    </w:p>
    <w:p w14:paraId="0000005D" w14:textId="27713D2F" w:rsidR="002970F5" w:rsidRPr="00402B6A" w:rsidRDefault="000F2E7E" w:rsidP="00402B6A">
      <w:pPr>
        <w:spacing w:line="240" w:lineRule="auto"/>
        <w:rPr>
          <w:rFonts w:eastAsia="Times New Roman"/>
          <w:sz w:val="20"/>
          <w:szCs w:val="20"/>
        </w:rPr>
      </w:pPr>
      <w:r w:rsidRPr="00402B6A">
        <w:rPr>
          <w:rFonts w:eastAsia="Times New Roman"/>
          <w:sz w:val="20"/>
          <w:szCs w:val="20"/>
        </w:rPr>
        <w:t xml:space="preserve">The Indiana </w:t>
      </w:r>
      <w:r w:rsidR="00BE6E6E">
        <w:rPr>
          <w:rFonts w:eastAsia="Times New Roman"/>
          <w:sz w:val="20"/>
          <w:szCs w:val="20"/>
        </w:rPr>
        <w:t>G</w:t>
      </w:r>
      <w:r w:rsidRPr="00402B6A">
        <w:rPr>
          <w:rFonts w:eastAsia="Times New Roman"/>
          <w:sz w:val="20"/>
          <w:szCs w:val="20"/>
        </w:rPr>
        <w:t xml:space="preserve">overnor has continued to extend telemedicine privileges through the public health emergency through March 31, 2021 with his most recent </w:t>
      </w:r>
      <w:hyperlink r:id="rId19" w:history="1">
        <w:r w:rsidRPr="00BE6E6E">
          <w:rPr>
            <w:rStyle w:val="Hyperlink"/>
            <w:rFonts w:eastAsia="Times New Roman"/>
            <w:b/>
            <w:bCs/>
            <w:color w:val="0070C0"/>
            <w:sz w:val="20"/>
            <w:szCs w:val="20"/>
            <w:u w:val="none"/>
          </w:rPr>
          <w:t xml:space="preserve">Executive Order </w:t>
        </w:r>
        <w:r w:rsidRPr="00BE6E6E">
          <w:rPr>
            <w:rStyle w:val="Hyperlink"/>
            <w:rFonts w:eastAsia="Times New Roman"/>
            <w:b/>
            <w:bCs/>
            <w:color w:val="0070C0"/>
            <w:sz w:val="20"/>
            <w:szCs w:val="20"/>
            <w:u w:val="none"/>
          </w:rPr>
          <w:t>2</w:t>
        </w:r>
        <w:r w:rsidRPr="00BE6E6E">
          <w:rPr>
            <w:rStyle w:val="Hyperlink"/>
            <w:rFonts w:eastAsia="Times New Roman"/>
            <w:b/>
            <w:bCs/>
            <w:color w:val="0070C0"/>
            <w:sz w:val="20"/>
            <w:szCs w:val="20"/>
            <w:u w:val="none"/>
          </w:rPr>
          <w:t>1-0</w:t>
        </w:r>
        <w:r w:rsidRPr="00BE6E6E">
          <w:rPr>
            <w:rStyle w:val="Hyperlink"/>
            <w:rFonts w:eastAsia="Times New Roman"/>
            <w:b/>
            <w:bCs/>
            <w:color w:val="0070C0"/>
            <w:sz w:val="20"/>
            <w:szCs w:val="20"/>
            <w:u w:val="none"/>
          </w:rPr>
          <w:t>5</w:t>
        </w:r>
      </w:hyperlink>
      <w:r w:rsidRPr="00402B6A">
        <w:rPr>
          <w:rFonts w:eastAsia="Times New Roman"/>
          <w:sz w:val="20"/>
          <w:szCs w:val="20"/>
        </w:rPr>
        <w:t>. Check for April updates near the end of March</w:t>
      </w:r>
      <w:hyperlink r:id="rId20">
        <w:r w:rsidRPr="00BE6E6E">
          <w:rPr>
            <w:rFonts w:eastAsia="Times New Roman"/>
            <w:color w:val="1155CC"/>
            <w:sz w:val="20"/>
            <w:szCs w:val="20"/>
          </w:rPr>
          <w:t xml:space="preserve"> </w:t>
        </w:r>
        <w:r w:rsidRPr="000F2E7E">
          <w:rPr>
            <w:rFonts w:eastAsia="Times New Roman"/>
            <w:b/>
            <w:bCs/>
            <w:color w:val="0070C0"/>
            <w:sz w:val="20"/>
            <w:szCs w:val="20"/>
          </w:rPr>
          <w:t>HERE</w:t>
        </w:r>
      </w:hyperlink>
      <w:r w:rsidR="00BE6E6E" w:rsidRPr="00BE6E6E">
        <w:rPr>
          <w:rFonts w:eastAsia="Times New Roman"/>
          <w:sz w:val="20"/>
          <w:szCs w:val="20"/>
        </w:rPr>
        <w:t>,</w:t>
      </w:r>
      <w:r w:rsidRPr="00402B6A">
        <w:rPr>
          <w:rFonts w:eastAsia="Times New Roman"/>
          <w:sz w:val="20"/>
          <w:szCs w:val="20"/>
        </w:rPr>
        <w:t xml:space="preserve"> to be directed to current and pa</w:t>
      </w:r>
      <w:r w:rsidRPr="00402B6A">
        <w:rPr>
          <w:rFonts w:eastAsia="Times New Roman"/>
          <w:sz w:val="20"/>
          <w:szCs w:val="20"/>
        </w:rPr>
        <w:t xml:space="preserve">st Executive Orders. </w:t>
      </w:r>
    </w:p>
    <w:p w14:paraId="0000005E" w14:textId="77777777" w:rsidR="002970F5" w:rsidRPr="00402B6A" w:rsidRDefault="002970F5" w:rsidP="00402B6A">
      <w:pPr>
        <w:spacing w:line="240" w:lineRule="auto"/>
        <w:rPr>
          <w:rFonts w:eastAsia="Times New Roman"/>
          <w:sz w:val="20"/>
          <w:szCs w:val="20"/>
        </w:rPr>
      </w:pPr>
    </w:p>
    <w:p w14:paraId="0000005F" w14:textId="121117EB" w:rsidR="002970F5" w:rsidRPr="00402B6A" w:rsidRDefault="000F2E7E" w:rsidP="00402B6A">
      <w:pPr>
        <w:spacing w:line="240" w:lineRule="auto"/>
        <w:rPr>
          <w:rFonts w:eastAsia="Times New Roman"/>
          <w:sz w:val="20"/>
          <w:szCs w:val="20"/>
        </w:rPr>
      </w:pPr>
      <w:r w:rsidRPr="00402B6A">
        <w:rPr>
          <w:rFonts w:eastAsia="Times New Roman"/>
          <w:sz w:val="20"/>
          <w:szCs w:val="20"/>
        </w:rPr>
        <w:t>Please see</w:t>
      </w:r>
      <w:r w:rsidR="00BE6E6E">
        <w:rPr>
          <w:rFonts w:eastAsia="Times New Roman"/>
          <w:sz w:val="20"/>
          <w:szCs w:val="20"/>
        </w:rPr>
        <w:t xml:space="preserve"> the</w:t>
      </w:r>
      <w:r w:rsidRPr="00402B6A">
        <w:rPr>
          <w:rFonts w:eastAsia="Times New Roman"/>
          <w:sz w:val="20"/>
          <w:szCs w:val="20"/>
        </w:rPr>
        <w:t xml:space="preserve"> </w:t>
      </w:r>
      <w:r w:rsidR="00BE6E6E">
        <w:rPr>
          <w:rFonts w:eastAsia="Times New Roman"/>
          <w:sz w:val="20"/>
          <w:szCs w:val="20"/>
        </w:rPr>
        <w:t>fol</w:t>
      </w:r>
      <w:r w:rsidRPr="00402B6A">
        <w:rPr>
          <w:rFonts w:eastAsia="Times New Roman"/>
          <w:sz w:val="20"/>
          <w:szCs w:val="20"/>
        </w:rPr>
        <w:t>low</w:t>
      </w:r>
      <w:r w:rsidR="00BE6E6E">
        <w:rPr>
          <w:rFonts w:eastAsia="Times New Roman"/>
          <w:sz w:val="20"/>
          <w:szCs w:val="20"/>
        </w:rPr>
        <w:t>ing</w:t>
      </w:r>
      <w:r w:rsidRPr="00402B6A">
        <w:rPr>
          <w:rFonts w:eastAsia="Times New Roman"/>
          <w:sz w:val="20"/>
          <w:szCs w:val="20"/>
        </w:rPr>
        <w:t xml:space="preserve"> </w:t>
      </w:r>
      <w:r w:rsidR="00BE6E6E">
        <w:rPr>
          <w:rFonts w:eastAsia="Times New Roman"/>
          <w:sz w:val="20"/>
          <w:szCs w:val="20"/>
        </w:rPr>
        <w:t>l</w:t>
      </w:r>
      <w:r w:rsidRPr="00402B6A">
        <w:rPr>
          <w:rFonts w:eastAsia="Times New Roman"/>
          <w:sz w:val="20"/>
          <w:szCs w:val="20"/>
        </w:rPr>
        <w:t>inks for the temporary and/or permanent payer policy revisions on telehealth:</w:t>
      </w:r>
      <w:hyperlink r:id="rId21">
        <w:r w:rsidRPr="00BE6E6E">
          <w:rPr>
            <w:rFonts w:eastAsia="Times New Roman"/>
            <w:color w:val="1155CC"/>
            <w:sz w:val="20"/>
            <w:szCs w:val="20"/>
          </w:rPr>
          <w:t xml:space="preserve"> </w:t>
        </w:r>
        <w:r w:rsidR="00BE6E6E">
          <w:rPr>
            <w:rFonts w:eastAsia="Times New Roman"/>
            <w:b/>
            <w:bCs/>
            <w:color w:val="0070C0"/>
            <w:sz w:val="20"/>
            <w:szCs w:val="20"/>
          </w:rPr>
          <w:t>Fe</w:t>
        </w:r>
        <w:r w:rsidRPr="00BE6E6E">
          <w:rPr>
            <w:rFonts w:eastAsia="Times New Roman"/>
            <w:b/>
            <w:bCs/>
            <w:color w:val="0070C0"/>
            <w:sz w:val="20"/>
            <w:szCs w:val="20"/>
          </w:rPr>
          <w:t>deral</w:t>
        </w:r>
      </w:hyperlink>
      <w:r w:rsidRPr="00402B6A">
        <w:rPr>
          <w:rFonts w:eastAsia="Times New Roman"/>
          <w:sz w:val="20"/>
          <w:szCs w:val="20"/>
        </w:rPr>
        <w:t xml:space="preserve">, </w:t>
      </w:r>
      <w:hyperlink r:id="rId22" w:history="1">
        <w:r w:rsidR="00BE6E6E">
          <w:rPr>
            <w:rStyle w:val="Hyperlink"/>
            <w:rFonts w:eastAsia="Times New Roman"/>
            <w:b/>
            <w:bCs/>
            <w:color w:val="0070C0"/>
            <w:sz w:val="20"/>
            <w:szCs w:val="20"/>
            <w:u w:val="none"/>
          </w:rPr>
          <w:t>Co</w:t>
        </w:r>
        <w:r w:rsidRPr="00BE6E6E">
          <w:rPr>
            <w:rStyle w:val="Hyperlink"/>
            <w:rFonts w:eastAsia="Times New Roman"/>
            <w:b/>
            <w:bCs/>
            <w:color w:val="0070C0"/>
            <w:sz w:val="20"/>
            <w:szCs w:val="20"/>
            <w:u w:val="none"/>
          </w:rPr>
          <w:t xml:space="preserve">mmercial </w:t>
        </w:r>
        <w:r w:rsidR="00BE6E6E">
          <w:rPr>
            <w:rStyle w:val="Hyperlink"/>
            <w:rFonts w:eastAsia="Times New Roman"/>
            <w:b/>
            <w:bCs/>
            <w:color w:val="0070C0"/>
            <w:sz w:val="20"/>
            <w:szCs w:val="20"/>
            <w:u w:val="none"/>
          </w:rPr>
          <w:t>P</w:t>
        </w:r>
        <w:r w:rsidRPr="00BE6E6E">
          <w:rPr>
            <w:rStyle w:val="Hyperlink"/>
            <w:rFonts w:eastAsia="Times New Roman"/>
            <w:b/>
            <w:bCs/>
            <w:color w:val="0070C0"/>
            <w:sz w:val="20"/>
            <w:szCs w:val="20"/>
            <w:u w:val="none"/>
          </w:rPr>
          <w:t>ayers</w:t>
        </w:r>
      </w:hyperlink>
      <w:r w:rsidRPr="00402B6A">
        <w:rPr>
          <w:rFonts w:eastAsia="Times New Roman"/>
          <w:sz w:val="20"/>
          <w:szCs w:val="20"/>
        </w:rPr>
        <w:t xml:space="preserve">, and </w:t>
      </w:r>
      <w:r>
        <w:rPr>
          <w:rFonts w:eastAsia="Times New Roman"/>
          <w:sz w:val="20"/>
          <w:szCs w:val="20"/>
        </w:rPr>
        <w:t>S</w:t>
      </w:r>
      <w:r w:rsidRPr="00402B6A">
        <w:rPr>
          <w:rFonts w:eastAsia="Times New Roman"/>
          <w:sz w:val="20"/>
          <w:szCs w:val="20"/>
        </w:rPr>
        <w:t xml:space="preserve">tate: IHCP Bulletins: </w:t>
      </w:r>
      <w:hyperlink r:id="rId23" w:history="1">
        <w:r w:rsidRPr="00BE6E6E">
          <w:rPr>
            <w:rStyle w:val="Hyperlink"/>
            <w:rFonts w:eastAsia="Times New Roman"/>
            <w:b/>
            <w:bCs/>
            <w:color w:val="0070C0"/>
            <w:sz w:val="20"/>
            <w:szCs w:val="20"/>
            <w:u w:val="none"/>
          </w:rPr>
          <w:t>BT202040</w:t>
        </w:r>
      </w:hyperlink>
      <w:r w:rsidRPr="00402B6A">
        <w:rPr>
          <w:rFonts w:eastAsia="Times New Roman"/>
          <w:sz w:val="20"/>
          <w:szCs w:val="20"/>
        </w:rPr>
        <w:t xml:space="preserve"> (Home Health Agencies), </w:t>
      </w:r>
      <w:hyperlink r:id="rId24" w:history="1">
        <w:r w:rsidRPr="00BE6E6E">
          <w:rPr>
            <w:rStyle w:val="Hyperlink"/>
            <w:rFonts w:eastAsia="Times New Roman"/>
            <w:b/>
            <w:bCs/>
            <w:color w:val="0070C0"/>
            <w:sz w:val="20"/>
            <w:szCs w:val="20"/>
            <w:u w:val="none"/>
          </w:rPr>
          <w:t>BT202022</w:t>
        </w:r>
      </w:hyperlink>
      <w:r w:rsidRPr="00402B6A">
        <w:rPr>
          <w:rFonts w:eastAsia="Times New Roman"/>
          <w:sz w:val="20"/>
          <w:szCs w:val="20"/>
        </w:rPr>
        <w:t xml:space="preserve"> (Billing </w:t>
      </w:r>
      <w:r w:rsidR="00BE6E6E">
        <w:rPr>
          <w:rFonts w:eastAsia="Times New Roman"/>
          <w:sz w:val="20"/>
          <w:szCs w:val="20"/>
        </w:rPr>
        <w:t>G</w:t>
      </w:r>
      <w:r w:rsidRPr="00402B6A">
        <w:rPr>
          <w:rFonts w:eastAsia="Times New Roman"/>
          <w:sz w:val="20"/>
          <w:szCs w:val="20"/>
        </w:rPr>
        <w:t xml:space="preserve">uidance 3/2020), </w:t>
      </w:r>
      <w:hyperlink r:id="rId25" w:history="1">
        <w:r w:rsidRPr="000F2E7E">
          <w:rPr>
            <w:rStyle w:val="Hyperlink"/>
            <w:rFonts w:eastAsia="Times New Roman"/>
            <w:b/>
            <w:bCs/>
            <w:color w:val="0070C0"/>
            <w:sz w:val="20"/>
            <w:szCs w:val="20"/>
            <w:u w:val="none"/>
          </w:rPr>
          <w:t>BT2020106</w:t>
        </w:r>
      </w:hyperlink>
      <w:r w:rsidRPr="00402B6A">
        <w:rPr>
          <w:rFonts w:eastAsia="Times New Roman"/>
          <w:sz w:val="20"/>
          <w:szCs w:val="20"/>
        </w:rPr>
        <w:t xml:space="preserve"> (</w:t>
      </w:r>
      <w:r w:rsidR="00BE6E6E">
        <w:rPr>
          <w:rFonts w:eastAsia="Times New Roman"/>
          <w:sz w:val="20"/>
          <w:szCs w:val="20"/>
        </w:rPr>
        <w:t>R</w:t>
      </w:r>
      <w:r w:rsidRPr="00402B6A">
        <w:rPr>
          <w:rFonts w:eastAsia="Times New Roman"/>
          <w:sz w:val="20"/>
          <w:szCs w:val="20"/>
        </w:rPr>
        <w:t xml:space="preserve">evised </w:t>
      </w:r>
      <w:r w:rsidR="00BE6E6E">
        <w:rPr>
          <w:rFonts w:eastAsia="Times New Roman"/>
          <w:sz w:val="20"/>
          <w:szCs w:val="20"/>
        </w:rPr>
        <w:t>B</w:t>
      </w:r>
      <w:r w:rsidRPr="00402B6A">
        <w:rPr>
          <w:rFonts w:eastAsia="Times New Roman"/>
          <w:sz w:val="20"/>
          <w:szCs w:val="20"/>
        </w:rPr>
        <w:t xml:space="preserve">illing </w:t>
      </w:r>
      <w:r w:rsidR="00BE6E6E">
        <w:rPr>
          <w:rFonts w:eastAsia="Times New Roman"/>
          <w:sz w:val="20"/>
          <w:szCs w:val="20"/>
        </w:rPr>
        <w:t>G</w:t>
      </w:r>
      <w:r w:rsidRPr="00402B6A">
        <w:rPr>
          <w:rFonts w:eastAsia="Times New Roman"/>
          <w:sz w:val="20"/>
          <w:szCs w:val="20"/>
        </w:rPr>
        <w:t>uidance).</w:t>
      </w:r>
    </w:p>
    <w:p w14:paraId="00000060" w14:textId="77777777" w:rsidR="002970F5" w:rsidRPr="00402B6A" w:rsidRDefault="002970F5" w:rsidP="00402B6A">
      <w:pPr>
        <w:spacing w:line="240" w:lineRule="auto"/>
        <w:rPr>
          <w:rFonts w:eastAsia="Times New Roman"/>
          <w:b/>
          <w:sz w:val="20"/>
          <w:szCs w:val="20"/>
        </w:rPr>
      </w:pPr>
    </w:p>
    <w:p w14:paraId="00000061" w14:textId="77777777" w:rsidR="002970F5" w:rsidRPr="000F2E7E" w:rsidRDefault="000F2E7E" w:rsidP="000F2E7E">
      <w:pPr>
        <w:spacing w:line="240" w:lineRule="auto"/>
        <w:rPr>
          <w:rFonts w:eastAsia="Times New Roman"/>
          <w:b/>
          <w:caps/>
          <w:color w:val="2D4F80"/>
          <w:sz w:val="20"/>
          <w:szCs w:val="20"/>
        </w:rPr>
      </w:pPr>
      <w:r w:rsidRPr="000F2E7E">
        <w:rPr>
          <w:rFonts w:eastAsia="Times New Roman"/>
          <w:b/>
          <w:caps/>
          <w:sz w:val="20"/>
          <w:szCs w:val="20"/>
        </w:rPr>
        <w:t>United Healthcare (UHC)</w:t>
      </w:r>
    </w:p>
    <w:p w14:paraId="00000062" w14:textId="77777777" w:rsidR="002970F5" w:rsidRPr="00402B6A" w:rsidRDefault="002970F5" w:rsidP="00402B6A">
      <w:pPr>
        <w:spacing w:line="240" w:lineRule="auto"/>
        <w:rPr>
          <w:rFonts w:eastAsia="Times New Roman"/>
          <w:sz w:val="20"/>
          <w:szCs w:val="20"/>
        </w:rPr>
      </w:pPr>
    </w:p>
    <w:p w14:paraId="00000063" w14:textId="77777777" w:rsidR="002970F5" w:rsidRPr="00402B6A" w:rsidRDefault="000F2E7E" w:rsidP="00402B6A">
      <w:pPr>
        <w:spacing w:line="240" w:lineRule="auto"/>
        <w:rPr>
          <w:rFonts w:eastAsia="Times New Roman"/>
          <w:sz w:val="20"/>
          <w:szCs w:val="20"/>
        </w:rPr>
      </w:pPr>
      <w:r w:rsidRPr="00402B6A">
        <w:rPr>
          <w:rFonts w:eastAsia="Times New Roman"/>
          <w:sz w:val="20"/>
          <w:szCs w:val="20"/>
        </w:rPr>
        <w:t>UHC has revised the following therapy covera</w:t>
      </w:r>
      <w:r w:rsidRPr="00402B6A">
        <w:rPr>
          <w:rFonts w:eastAsia="Times New Roman"/>
          <w:sz w:val="20"/>
          <w:szCs w:val="20"/>
        </w:rPr>
        <w:t>ge determination guidelines and medical policies:</w:t>
      </w:r>
    </w:p>
    <w:p w14:paraId="00000064" w14:textId="77777777" w:rsidR="002970F5" w:rsidRPr="00402B6A" w:rsidRDefault="002970F5" w:rsidP="00402B6A">
      <w:pPr>
        <w:spacing w:line="240" w:lineRule="auto"/>
        <w:rPr>
          <w:rFonts w:eastAsia="Times New Roman"/>
          <w:sz w:val="20"/>
          <w:szCs w:val="20"/>
        </w:rPr>
      </w:pPr>
    </w:p>
    <w:p w14:paraId="00000065" w14:textId="77777777" w:rsidR="002970F5" w:rsidRPr="00402B6A" w:rsidRDefault="000F2E7E" w:rsidP="00402B6A">
      <w:pPr>
        <w:spacing w:line="240" w:lineRule="auto"/>
        <w:rPr>
          <w:rFonts w:eastAsia="Times New Roman"/>
          <w:sz w:val="20"/>
          <w:szCs w:val="20"/>
        </w:rPr>
      </w:pPr>
      <w:r w:rsidRPr="00402B6A">
        <w:rPr>
          <w:rFonts w:eastAsia="Times New Roman"/>
          <w:sz w:val="20"/>
          <w:szCs w:val="20"/>
        </w:rPr>
        <w:t>UHC Commercial Medical Policy Update - Effective May 1, 2021</w:t>
      </w:r>
    </w:p>
    <w:p w14:paraId="00000066" w14:textId="77777777" w:rsidR="002970F5" w:rsidRPr="00402B6A" w:rsidRDefault="000F2E7E" w:rsidP="00402B6A">
      <w:pPr>
        <w:numPr>
          <w:ilvl w:val="0"/>
          <w:numId w:val="3"/>
        </w:numPr>
        <w:spacing w:line="240" w:lineRule="auto"/>
        <w:rPr>
          <w:rFonts w:eastAsia="Times New Roman"/>
          <w:sz w:val="20"/>
          <w:szCs w:val="20"/>
        </w:rPr>
      </w:pPr>
      <w:r w:rsidRPr="00402B6A">
        <w:rPr>
          <w:rFonts w:eastAsia="Times New Roman"/>
          <w:sz w:val="20"/>
          <w:szCs w:val="20"/>
        </w:rPr>
        <w:t xml:space="preserve">Habilitative Services and Outpatient Rehabilitation Therapy – Click </w:t>
      </w:r>
      <w:hyperlink r:id="rId26">
        <w:r w:rsidRPr="000F2E7E">
          <w:rPr>
            <w:rFonts w:eastAsia="Times New Roman"/>
            <w:b/>
            <w:bCs/>
            <w:color w:val="0070C0"/>
            <w:sz w:val="20"/>
            <w:szCs w:val="20"/>
          </w:rPr>
          <w:t>HERE</w:t>
        </w:r>
      </w:hyperlink>
      <w:r w:rsidRPr="00402B6A">
        <w:rPr>
          <w:rFonts w:eastAsia="Times New Roman"/>
          <w:sz w:val="20"/>
          <w:szCs w:val="20"/>
        </w:rPr>
        <w:t xml:space="preserve"> to access. </w:t>
      </w:r>
    </w:p>
    <w:p w14:paraId="5854CFCF" w14:textId="77777777" w:rsidR="000F2E7E" w:rsidRDefault="000F2E7E" w:rsidP="00402B6A">
      <w:pPr>
        <w:spacing w:line="240" w:lineRule="auto"/>
        <w:rPr>
          <w:rFonts w:eastAsia="Times New Roman"/>
          <w:sz w:val="20"/>
          <w:szCs w:val="20"/>
        </w:rPr>
      </w:pPr>
    </w:p>
    <w:p w14:paraId="00000067" w14:textId="42808AAC" w:rsidR="002970F5" w:rsidRPr="00402B6A" w:rsidRDefault="000F2E7E" w:rsidP="00402B6A">
      <w:pPr>
        <w:spacing w:line="240" w:lineRule="auto"/>
        <w:rPr>
          <w:rFonts w:eastAsia="Times New Roman"/>
          <w:sz w:val="20"/>
          <w:szCs w:val="20"/>
        </w:rPr>
      </w:pPr>
      <w:r w:rsidRPr="00402B6A">
        <w:rPr>
          <w:rFonts w:eastAsia="Times New Roman"/>
          <w:sz w:val="20"/>
          <w:szCs w:val="20"/>
        </w:rPr>
        <w:t>UHC Oxford Medical Policy Update - Effective June 1, 2021</w:t>
      </w:r>
    </w:p>
    <w:p w14:paraId="00000068" w14:textId="77777777" w:rsidR="002970F5" w:rsidRPr="00402B6A" w:rsidRDefault="000F2E7E" w:rsidP="00402B6A">
      <w:pPr>
        <w:numPr>
          <w:ilvl w:val="0"/>
          <w:numId w:val="4"/>
        </w:numPr>
        <w:spacing w:line="240" w:lineRule="auto"/>
        <w:rPr>
          <w:rFonts w:eastAsia="Times New Roman"/>
          <w:sz w:val="20"/>
          <w:szCs w:val="20"/>
        </w:rPr>
      </w:pPr>
      <w:r w:rsidRPr="00402B6A">
        <w:rPr>
          <w:rFonts w:eastAsia="Times New Roman"/>
          <w:sz w:val="20"/>
          <w:szCs w:val="20"/>
        </w:rPr>
        <w:t>Outpatie</w:t>
      </w:r>
      <w:r w:rsidRPr="00402B6A">
        <w:rPr>
          <w:rFonts w:eastAsia="Times New Roman"/>
          <w:sz w:val="20"/>
          <w:szCs w:val="20"/>
        </w:rPr>
        <w:t xml:space="preserve">nt Rehabilitation Therapy Services Policy – Click </w:t>
      </w:r>
      <w:hyperlink r:id="rId27">
        <w:r w:rsidRPr="000F2E7E">
          <w:rPr>
            <w:rFonts w:eastAsia="Times New Roman"/>
            <w:b/>
            <w:bCs/>
            <w:color w:val="0070C0"/>
            <w:sz w:val="20"/>
            <w:szCs w:val="20"/>
          </w:rPr>
          <w:t>HERE</w:t>
        </w:r>
      </w:hyperlink>
      <w:r w:rsidRPr="00402B6A">
        <w:rPr>
          <w:rFonts w:eastAsia="Times New Roman"/>
          <w:sz w:val="20"/>
          <w:szCs w:val="20"/>
        </w:rPr>
        <w:t xml:space="preserve"> to access. </w:t>
      </w:r>
    </w:p>
    <w:p w14:paraId="00000069" w14:textId="77777777" w:rsidR="002970F5" w:rsidRPr="00402B6A" w:rsidRDefault="000F2E7E" w:rsidP="00402B6A">
      <w:pPr>
        <w:numPr>
          <w:ilvl w:val="0"/>
          <w:numId w:val="4"/>
        </w:numPr>
        <w:spacing w:line="240" w:lineRule="auto"/>
        <w:rPr>
          <w:rFonts w:eastAsia="Times New Roman"/>
          <w:sz w:val="20"/>
          <w:szCs w:val="20"/>
        </w:rPr>
      </w:pPr>
      <w:r w:rsidRPr="00402B6A">
        <w:rPr>
          <w:rFonts w:eastAsia="Times New Roman"/>
          <w:sz w:val="20"/>
          <w:szCs w:val="20"/>
        </w:rPr>
        <w:t>This policy applies to serv</w:t>
      </w:r>
      <w:r w:rsidRPr="00402B6A">
        <w:rPr>
          <w:rFonts w:eastAsia="Times New Roman"/>
          <w:sz w:val="20"/>
          <w:szCs w:val="20"/>
        </w:rPr>
        <w:t>ices reported using the UB04 claim form or its electronic equivalent or its successor form. This policy applies to all products and all network and non-network outpatient hospital claims.</w:t>
      </w:r>
    </w:p>
    <w:p w14:paraId="0000006A" w14:textId="77777777" w:rsidR="002970F5" w:rsidRPr="00402B6A" w:rsidRDefault="002970F5" w:rsidP="00402B6A">
      <w:pPr>
        <w:spacing w:line="240" w:lineRule="auto"/>
        <w:rPr>
          <w:rFonts w:eastAsia="Times New Roman"/>
          <w:b/>
          <w:sz w:val="20"/>
          <w:szCs w:val="20"/>
        </w:rPr>
      </w:pPr>
    </w:p>
    <w:p w14:paraId="0000006B" w14:textId="77777777" w:rsidR="002970F5" w:rsidRPr="000F2E7E" w:rsidRDefault="000F2E7E" w:rsidP="000F2E7E">
      <w:pPr>
        <w:shd w:val="clear" w:color="auto" w:fill="FFFFFF"/>
        <w:spacing w:line="240" w:lineRule="auto"/>
        <w:rPr>
          <w:rFonts w:eastAsia="Times New Roman"/>
          <w:b/>
          <w:caps/>
          <w:sz w:val="20"/>
          <w:szCs w:val="20"/>
        </w:rPr>
      </w:pPr>
      <w:r w:rsidRPr="000F2E7E">
        <w:rPr>
          <w:rFonts w:eastAsia="Times New Roman"/>
          <w:b/>
          <w:caps/>
          <w:sz w:val="20"/>
          <w:szCs w:val="20"/>
        </w:rPr>
        <w:t>Anthem</w:t>
      </w:r>
    </w:p>
    <w:p w14:paraId="6847DB5C" w14:textId="77777777" w:rsidR="000F2E7E" w:rsidRDefault="000F2E7E" w:rsidP="000F2E7E">
      <w:pPr>
        <w:shd w:val="clear" w:color="auto" w:fill="FFFFFF"/>
        <w:spacing w:line="240" w:lineRule="auto"/>
        <w:rPr>
          <w:rFonts w:eastAsia="Times New Roman"/>
          <w:b/>
          <w:color w:val="201F1E"/>
          <w:sz w:val="20"/>
          <w:szCs w:val="20"/>
          <w:highlight w:val="white"/>
        </w:rPr>
      </w:pPr>
    </w:p>
    <w:p w14:paraId="0000006C" w14:textId="71D9DB00" w:rsidR="002970F5" w:rsidRPr="00402B6A" w:rsidRDefault="000F2E7E" w:rsidP="000F2E7E">
      <w:pPr>
        <w:shd w:val="clear" w:color="auto" w:fill="FFFFFF"/>
        <w:spacing w:line="240" w:lineRule="auto"/>
        <w:rPr>
          <w:rFonts w:eastAsia="Times New Roman"/>
          <w:b/>
          <w:color w:val="201F1E"/>
          <w:sz w:val="20"/>
          <w:szCs w:val="20"/>
          <w:highlight w:val="white"/>
        </w:rPr>
      </w:pPr>
      <w:r w:rsidRPr="00402B6A">
        <w:rPr>
          <w:rFonts w:eastAsia="Times New Roman"/>
          <w:b/>
          <w:color w:val="201F1E"/>
          <w:sz w:val="20"/>
          <w:szCs w:val="20"/>
          <w:highlight w:val="white"/>
        </w:rPr>
        <w:t>Frequency Editing</w:t>
      </w:r>
      <w:r>
        <w:rPr>
          <w:rFonts w:eastAsia="Times New Roman"/>
          <w:b/>
          <w:color w:val="201F1E"/>
          <w:sz w:val="20"/>
          <w:szCs w:val="20"/>
          <w:highlight w:val="white"/>
        </w:rPr>
        <w:t xml:space="preserve"> </w:t>
      </w:r>
      <w:r w:rsidRPr="00402B6A">
        <w:rPr>
          <w:rFonts w:eastAsia="Times New Roman"/>
          <w:b/>
          <w:color w:val="201F1E"/>
          <w:sz w:val="20"/>
          <w:szCs w:val="20"/>
          <w:highlight w:val="white"/>
        </w:rPr>
        <w:t xml:space="preserve">- Professional </w:t>
      </w:r>
      <w:r>
        <w:rPr>
          <w:rFonts w:eastAsia="Times New Roman"/>
          <w:b/>
          <w:color w:val="201F1E"/>
          <w:sz w:val="20"/>
          <w:szCs w:val="20"/>
          <w:highlight w:val="white"/>
        </w:rPr>
        <w:t>U</w:t>
      </w:r>
      <w:r w:rsidRPr="00402B6A">
        <w:rPr>
          <w:rFonts w:eastAsia="Times New Roman"/>
          <w:b/>
          <w:color w:val="201F1E"/>
          <w:sz w:val="20"/>
          <w:szCs w:val="20"/>
          <w:highlight w:val="white"/>
        </w:rPr>
        <w:t>pdate</w:t>
      </w:r>
    </w:p>
    <w:p w14:paraId="0000006D" w14:textId="4DB38E27" w:rsidR="002970F5" w:rsidRPr="00402B6A" w:rsidRDefault="000F2E7E" w:rsidP="00402B6A">
      <w:pPr>
        <w:shd w:val="clear" w:color="auto" w:fill="FFFFFF"/>
        <w:spacing w:line="240" w:lineRule="auto"/>
        <w:rPr>
          <w:rFonts w:eastAsia="Times New Roman"/>
          <w:sz w:val="20"/>
          <w:szCs w:val="20"/>
        </w:rPr>
      </w:pPr>
      <w:r w:rsidRPr="00402B6A">
        <w:rPr>
          <w:rFonts w:eastAsia="Times New Roman"/>
          <w:color w:val="201F1E"/>
          <w:sz w:val="20"/>
          <w:szCs w:val="20"/>
          <w:highlight w:val="white"/>
        </w:rPr>
        <w:t xml:space="preserve">Anthem Indiana, January 1, 2021 announced a </w:t>
      </w:r>
      <w:hyperlink r:id="rId28">
        <w:r w:rsidRPr="000F2E7E">
          <w:rPr>
            <w:rFonts w:eastAsia="Times New Roman"/>
            <w:b/>
            <w:bCs/>
            <w:color w:val="0070C0"/>
            <w:sz w:val="20"/>
            <w:szCs w:val="20"/>
            <w:highlight w:val="white"/>
          </w:rPr>
          <w:t>4 unit per visit limit</w:t>
        </w:r>
      </w:hyperlink>
      <w:r w:rsidRPr="00402B6A">
        <w:rPr>
          <w:rFonts w:eastAsia="Times New Roman"/>
          <w:color w:val="201F1E"/>
          <w:sz w:val="20"/>
          <w:szCs w:val="20"/>
          <w:highlight w:val="white"/>
        </w:rPr>
        <w:t xml:space="preserve"> that would be in effec</w:t>
      </w:r>
      <w:r w:rsidRPr="00402B6A">
        <w:rPr>
          <w:rFonts w:eastAsia="Times New Roman"/>
          <w:color w:val="201F1E"/>
          <w:sz w:val="20"/>
          <w:szCs w:val="20"/>
          <w:highlight w:val="white"/>
        </w:rPr>
        <w:t xml:space="preserve">t as of April 1, 2021. March 12, 2021 </w:t>
      </w:r>
      <w:r w:rsidRPr="00402B6A">
        <w:rPr>
          <w:rFonts w:eastAsia="Times New Roman"/>
          <w:sz w:val="20"/>
          <w:szCs w:val="20"/>
        </w:rPr>
        <w:t>Anthem communicated to APTA that it will</w:t>
      </w:r>
      <w:r w:rsidRPr="00402B6A">
        <w:rPr>
          <w:rFonts w:eastAsia="Times New Roman"/>
          <w:b/>
          <w:sz w:val="20"/>
          <w:szCs w:val="20"/>
        </w:rPr>
        <w:t xml:space="preserve"> not </w:t>
      </w:r>
      <w:r w:rsidRPr="00402B6A">
        <w:rPr>
          <w:rFonts w:eastAsia="Times New Roman"/>
          <w:color w:val="201F1E"/>
          <w:sz w:val="20"/>
          <w:szCs w:val="20"/>
          <w:highlight w:val="white"/>
        </w:rPr>
        <w:t>implement the 4 unit per visit/</w:t>
      </w:r>
      <w:r w:rsidRPr="00402B6A">
        <w:rPr>
          <w:rFonts w:eastAsia="Times New Roman"/>
          <w:color w:val="201F1E"/>
          <w:sz w:val="20"/>
          <w:szCs w:val="20"/>
          <w:highlight w:val="white"/>
        </w:rPr>
        <w:t xml:space="preserve">1-hour limit this year in Indiana or any other state. Please contact APTA Indiana if you have this frequency edit applied to your practice. </w:t>
      </w:r>
    </w:p>
    <w:p w14:paraId="0000006E" w14:textId="77777777" w:rsidR="002970F5" w:rsidRPr="00402B6A" w:rsidRDefault="002970F5" w:rsidP="00402B6A">
      <w:pPr>
        <w:spacing w:line="240" w:lineRule="auto"/>
        <w:rPr>
          <w:rFonts w:eastAsia="Times New Roman"/>
          <w:b/>
          <w:sz w:val="20"/>
          <w:szCs w:val="20"/>
        </w:rPr>
      </w:pPr>
    </w:p>
    <w:p w14:paraId="0000006F" w14:textId="35496168" w:rsidR="002970F5" w:rsidRPr="00402B6A" w:rsidRDefault="000F2E7E" w:rsidP="00402B6A">
      <w:pPr>
        <w:spacing w:line="240" w:lineRule="auto"/>
        <w:rPr>
          <w:rFonts w:eastAsia="Times New Roman"/>
          <w:b/>
          <w:sz w:val="20"/>
          <w:szCs w:val="20"/>
        </w:rPr>
      </w:pPr>
      <w:r w:rsidRPr="00402B6A">
        <w:rPr>
          <w:rFonts w:eastAsia="Times New Roman"/>
          <w:b/>
          <w:sz w:val="20"/>
          <w:szCs w:val="20"/>
        </w:rPr>
        <w:t xml:space="preserve">AIM: Peer to Peer </w:t>
      </w:r>
      <w:r>
        <w:rPr>
          <w:rFonts w:eastAsia="Times New Roman"/>
          <w:b/>
          <w:sz w:val="20"/>
          <w:szCs w:val="20"/>
        </w:rPr>
        <w:t>R</w:t>
      </w:r>
      <w:r w:rsidRPr="00402B6A">
        <w:rPr>
          <w:rFonts w:eastAsia="Times New Roman"/>
          <w:b/>
          <w:sz w:val="20"/>
          <w:szCs w:val="20"/>
        </w:rPr>
        <w:t xml:space="preserve">eview </w:t>
      </w:r>
      <w:r>
        <w:rPr>
          <w:rFonts w:eastAsia="Times New Roman"/>
          <w:b/>
          <w:sz w:val="20"/>
          <w:szCs w:val="20"/>
        </w:rPr>
        <w:t>S</w:t>
      </w:r>
      <w:r w:rsidRPr="00402B6A">
        <w:rPr>
          <w:rFonts w:eastAsia="Times New Roman"/>
          <w:b/>
          <w:sz w:val="20"/>
          <w:szCs w:val="20"/>
        </w:rPr>
        <w:t>cheduling</w:t>
      </w:r>
    </w:p>
    <w:p w14:paraId="00000071" w14:textId="5B2AA4E7" w:rsidR="002970F5" w:rsidRPr="00402B6A" w:rsidRDefault="000F2E7E" w:rsidP="00402B6A">
      <w:pPr>
        <w:spacing w:line="240" w:lineRule="auto"/>
        <w:rPr>
          <w:rFonts w:eastAsia="Times New Roman"/>
          <w:sz w:val="20"/>
          <w:szCs w:val="20"/>
        </w:rPr>
      </w:pPr>
      <w:r w:rsidRPr="00402B6A">
        <w:rPr>
          <w:rFonts w:eastAsia="Times New Roman"/>
          <w:sz w:val="20"/>
          <w:szCs w:val="20"/>
        </w:rPr>
        <w:t>If you are experiencing long wait times scheduling peer to peer reviews via AIM Specialty Health at 877-430-2288, AIM Specialty Health Provider Portal and Optinet Support Line at 800-252-2021 (option 2)</w:t>
      </w:r>
      <w:r>
        <w:rPr>
          <w:rFonts w:eastAsia="Times New Roman"/>
          <w:sz w:val="20"/>
          <w:szCs w:val="20"/>
        </w:rPr>
        <w:t>,</w:t>
      </w:r>
      <w:r w:rsidRPr="00402B6A">
        <w:rPr>
          <w:rFonts w:eastAsia="Times New Roman"/>
          <w:sz w:val="20"/>
          <w:szCs w:val="20"/>
        </w:rPr>
        <w:t xml:space="preserve"> is an addition</w:t>
      </w:r>
      <w:r w:rsidRPr="00402B6A">
        <w:rPr>
          <w:rFonts w:eastAsia="Times New Roman"/>
          <w:sz w:val="20"/>
          <w:szCs w:val="20"/>
        </w:rPr>
        <w:t>al option and has been reported to APTA to cut down on the wait times when calling to schedule an internal review.</w:t>
      </w:r>
    </w:p>
    <w:p w14:paraId="00000072" w14:textId="77777777" w:rsidR="002970F5" w:rsidRPr="00402B6A" w:rsidRDefault="002970F5" w:rsidP="00402B6A">
      <w:pPr>
        <w:spacing w:line="240" w:lineRule="auto"/>
        <w:jc w:val="center"/>
        <w:rPr>
          <w:rFonts w:eastAsia="Times New Roman"/>
          <w:b/>
          <w:sz w:val="20"/>
          <w:szCs w:val="20"/>
        </w:rPr>
      </w:pPr>
    </w:p>
    <w:p w14:paraId="00000073" w14:textId="77777777" w:rsidR="002970F5" w:rsidRPr="00402B6A" w:rsidRDefault="002970F5" w:rsidP="00402B6A">
      <w:pPr>
        <w:shd w:val="clear" w:color="auto" w:fill="FFFFFF"/>
        <w:spacing w:line="240" w:lineRule="auto"/>
        <w:rPr>
          <w:rFonts w:eastAsia="Times New Roman"/>
          <w:color w:val="1F497D"/>
          <w:sz w:val="20"/>
          <w:szCs w:val="20"/>
          <w:highlight w:val="white"/>
        </w:rPr>
      </w:pPr>
    </w:p>
    <w:p w14:paraId="00000074" w14:textId="77777777" w:rsidR="002970F5" w:rsidRPr="00402B6A" w:rsidRDefault="002970F5" w:rsidP="00402B6A">
      <w:pPr>
        <w:spacing w:line="240" w:lineRule="auto"/>
        <w:ind w:left="1440"/>
        <w:rPr>
          <w:rFonts w:eastAsia="Times New Roman"/>
          <w:color w:val="1F497D"/>
          <w:sz w:val="20"/>
          <w:szCs w:val="20"/>
          <w:highlight w:val="white"/>
        </w:rPr>
      </w:pPr>
    </w:p>
    <w:p w14:paraId="00000075" w14:textId="77777777" w:rsidR="002970F5" w:rsidRPr="00402B6A" w:rsidRDefault="002970F5" w:rsidP="00402B6A">
      <w:pPr>
        <w:spacing w:line="240" w:lineRule="auto"/>
        <w:ind w:left="1440"/>
        <w:rPr>
          <w:rFonts w:eastAsia="Times New Roman"/>
          <w:color w:val="1F497D"/>
          <w:sz w:val="20"/>
          <w:szCs w:val="20"/>
          <w:highlight w:val="white"/>
        </w:rPr>
      </w:pPr>
    </w:p>
    <w:p w14:paraId="00000076" w14:textId="77777777" w:rsidR="002970F5" w:rsidRPr="00402B6A" w:rsidRDefault="002970F5" w:rsidP="00402B6A">
      <w:pPr>
        <w:spacing w:line="240" w:lineRule="auto"/>
        <w:rPr>
          <w:rFonts w:eastAsia="Times New Roman"/>
          <w:sz w:val="20"/>
          <w:szCs w:val="20"/>
        </w:rPr>
      </w:pPr>
    </w:p>
    <w:p w14:paraId="00000077" w14:textId="77777777" w:rsidR="002970F5" w:rsidRPr="00402B6A" w:rsidRDefault="002970F5" w:rsidP="00402B6A">
      <w:pPr>
        <w:spacing w:line="240" w:lineRule="auto"/>
        <w:rPr>
          <w:rFonts w:eastAsia="Times New Roman"/>
          <w:sz w:val="20"/>
          <w:szCs w:val="20"/>
        </w:rPr>
      </w:pPr>
    </w:p>
    <w:p w14:paraId="00000078" w14:textId="77777777" w:rsidR="002970F5" w:rsidRPr="00402B6A" w:rsidRDefault="002970F5" w:rsidP="00402B6A">
      <w:pPr>
        <w:spacing w:line="240" w:lineRule="auto"/>
        <w:rPr>
          <w:rFonts w:eastAsia="Times New Roman"/>
          <w:sz w:val="20"/>
          <w:szCs w:val="20"/>
        </w:rPr>
      </w:pPr>
    </w:p>
    <w:p w14:paraId="00000079" w14:textId="77777777" w:rsidR="002970F5" w:rsidRPr="00402B6A" w:rsidRDefault="002970F5" w:rsidP="00402B6A">
      <w:pPr>
        <w:spacing w:line="240" w:lineRule="auto"/>
        <w:rPr>
          <w:rFonts w:eastAsia="Times New Roman"/>
          <w:sz w:val="20"/>
          <w:szCs w:val="20"/>
        </w:rPr>
      </w:pPr>
    </w:p>
    <w:sectPr w:rsidR="002970F5" w:rsidRPr="00402B6A" w:rsidSect="00402B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2A4"/>
    <w:multiLevelType w:val="multilevel"/>
    <w:tmpl w:val="07A4A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71A16"/>
    <w:multiLevelType w:val="multilevel"/>
    <w:tmpl w:val="F9643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8A04CA"/>
    <w:multiLevelType w:val="hybridMultilevel"/>
    <w:tmpl w:val="D2D25C64"/>
    <w:lvl w:ilvl="0" w:tplc="FE1C3B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736D0"/>
    <w:multiLevelType w:val="multilevel"/>
    <w:tmpl w:val="EEE0A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9C244B"/>
    <w:multiLevelType w:val="hybridMultilevel"/>
    <w:tmpl w:val="F8D4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C47EB"/>
    <w:multiLevelType w:val="multilevel"/>
    <w:tmpl w:val="91142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F5"/>
    <w:rsid w:val="000F2E7E"/>
    <w:rsid w:val="002970F5"/>
    <w:rsid w:val="00402B6A"/>
    <w:rsid w:val="00BE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0E91"/>
  <w15:docId w15:val="{AFD791D2-6CFB-4F5E-9A20-43979259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02B6A"/>
    <w:pPr>
      <w:ind w:left="720"/>
      <w:contextualSpacing/>
    </w:pPr>
  </w:style>
  <w:style w:type="character" w:styleId="Hyperlink">
    <w:name w:val="Hyperlink"/>
    <w:basedOn w:val="DefaultParagraphFont"/>
    <w:uiPriority w:val="99"/>
    <w:unhideWhenUsed/>
    <w:rsid w:val="00BE6E6E"/>
    <w:rPr>
      <w:color w:val="0000FF" w:themeColor="hyperlink"/>
      <w:u w:val="single"/>
    </w:rPr>
  </w:style>
  <w:style w:type="character" w:styleId="UnresolvedMention">
    <w:name w:val="Unresolved Mention"/>
    <w:basedOn w:val="DefaultParagraphFont"/>
    <w:uiPriority w:val="99"/>
    <w:semiHidden/>
    <w:unhideWhenUsed/>
    <w:rsid w:val="00BE6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ms.gov/medicare/therapy-services/billing-examples-using-cqco-modifiers-services-provided-ptas-otas" TargetMode="External"/><Relationship Id="rId13" Type="http://schemas.openxmlformats.org/officeDocument/2006/relationships/hyperlink" Target="https://qpp.cms.gov/mips/exception-applications" TargetMode="External"/><Relationship Id="rId18" Type="http://schemas.openxmlformats.org/officeDocument/2006/relationships/hyperlink" Target="https://www.cms.gov/Medicare/Coding/NationalCorrectCodInitEd/NCCI-Coding-Edits" TargetMode="External"/><Relationship Id="rId26" Type="http://schemas.openxmlformats.org/officeDocument/2006/relationships/hyperlink" Target="https://www.uhcprovider.com/content/dam/provider/docs/public/policies/index/commercial/habilitative-services-outpatient-rehabilitation-therapy-05012021.pdf" TargetMode="External"/><Relationship Id="rId3" Type="http://schemas.openxmlformats.org/officeDocument/2006/relationships/settings" Target="settings.xml"/><Relationship Id="rId21" Type="http://schemas.openxmlformats.org/officeDocument/2006/relationships/hyperlink" Target="http://r20.rs6.net/tn.jsp?f=001x1DRNGDTcIQ4mW7Pw4Ya7qbuA1MAzibx6kx4UfVHyOeVVauyFYmzzDJFd7EQinc3DU-r8VZmS27G55cwGz10Q5KFrhYMZBDy937FDkopaURagAcKmFygVPW1_qt2SknCI6nYH7_9MtwJJ9RQn-JWu4ljcyGq3N7DWx531ktyRvgz6uMc1z_h_A9jUW5YVdcF4GdlL6uub_yQspsSPs44kPcEZsVNWOLX5G70Oo0xJYY=&amp;c=GMrjGJ8qAAiZz3aDH6QEzmL3Cwa2a7QgWw-Y9l6gNfPdpbf-MSVNkQ==&amp;ch=m7grSXup6eUWyM9e-Vii3oQWK9_zyqKj1Mzerj0wVqkr01t9QT2JhA==" TargetMode="External"/><Relationship Id="rId7" Type="http://schemas.openxmlformats.org/officeDocument/2006/relationships/hyperlink" Target="https://www.votervoice.net/APTA/campaigns/83020/respond" TargetMode="External"/><Relationship Id="rId12" Type="http://schemas.openxmlformats.org/officeDocument/2006/relationships/hyperlink" Target="https://www.apta.org/news/2021/03/08/cq-modifier-update-march-2021" TargetMode="External"/><Relationship Id="rId17" Type="http://schemas.openxmlformats.org/officeDocument/2006/relationships/hyperlink" Target="file:///C:\Users\vahet\ALP-Org.Mgmt%20Dropbox\Clients\Indiana%20Chapter\Committees\Practice%20&amp;%20Payment\CMS%20NCCI%20Edits%20April%201,%202021.xlsx" TargetMode="External"/><Relationship Id="rId25" Type="http://schemas.openxmlformats.org/officeDocument/2006/relationships/hyperlink" Target="file:///C:\Users\vahet\ALP-Org.Mgmt%20Dropbox\Clients\Indiana%20Chapter\Committees\Practice%20&amp;%20Payment\BT2020106%209-24-2020%20(1).pdf" TargetMode="External"/><Relationship Id="rId2" Type="http://schemas.openxmlformats.org/officeDocument/2006/relationships/styles" Target="styles.xml"/><Relationship Id="rId16" Type="http://schemas.openxmlformats.org/officeDocument/2006/relationships/hyperlink" Target="https://www.apta.org/apta-and-you/news-publications/podcasts/2021/understanding-information-blocking" TargetMode="External"/><Relationship Id="rId20" Type="http://schemas.openxmlformats.org/officeDocument/2006/relationships/hyperlink" Target="https://www.in.gov/gov/governor-holcomb/newsroom/executive-orde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otervoice.net/BroadcastLinks/3hdVj01Gvku8n4WaGU85Hw" TargetMode="External"/><Relationship Id="rId11" Type="http://schemas.openxmlformats.org/officeDocument/2006/relationships/hyperlink" Target="https://www.apta.org/article/2020/02/10/the-pta-differential-how-we-got-here-and-whats-next" TargetMode="External"/><Relationship Id="rId24" Type="http://schemas.openxmlformats.org/officeDocument/2006/relationships/hyperlink" Target="file:///C:\Users\vahet\ALP-Org.Mgmt%20Dropbox\Clients\Indiana%20Chapter\Committees\Practice%20&amp;%20Payment\BT202022%20(1)telemedicine%20COVID.pdf" TargetMode="External"/><Relationship Id="rId5" Type="http://schemas.openxmlformats.org/officeDocument/2006/relationships/image" Target="media/image1.jpg"/><Relationship Id="rId15" Type="http://schemas.openxmlformats.org/officeDocument/2006/relationships/hyperlink" Target="https://www.apta.org/your-practice/compliance/health-information-technology-and-patient-privacy/information-blocking/practice-advisory" TargetMode="External"/><Relationship Id="rId23" Type="http://schemas.openxmlformats.org/officeDocument/2006/relationships/hyperlink" Target="file:///C:\Users\vahet\ALP-Org.Mgmt%20Dropbox\Clients\Indiana%20Chapter\Committees\Practice%20&amp;%20Payment\Home%20Health%20IN%20Medicaid%20telemedicine%20BT202040%20(1).pdf" TargetMode="External"/><Relationship Id="rId28" Type="http://schemas.openxmlformats.org/officeDocument/2006/relationships/hyperlink" Target="https://providernews.anthem.com/indiana/article/reimbursement-policy-update-frequency-editing-professional-9" TargetMode="External"/><Relationship Id="rId10" Type="http://schemas.openxmlformats.org/officeDocument/2006/relationships/hyperlink" Target="https://www.apta.org/apta-magazine/2020/03/01/compliance-matters-how-to-apply-the-new-cq-modifier" TargetMode="External"/><Relationship Id="rId19" Type="http://schemas.openxmlformats.org/officeDocument/2006/relationships/hyperlink" Target="https://www.in.gov/gov/files/Executive-Order-21-03-Eleventh-Renewal-of-Emergency-Declaration.pdf" TargetMode="External"/><Relationship Id="rId4" Type="http://schemas.openxmlformats.org/officeDocument/2006/relationships/webSettings" Target="webSettings.xml"/><Relationship Id="rId9" Type="http://schemas.openxmlformats.org/officeDocument/2006/relationships/hyperlink" Target="https://www.apta.org/your-practice/payment/medicare-payment/coding-billing/mppr/quick-guide-to-using-the-pta-modifier" TargetMode="External"/><Relationship Id="rId14" Type="http://schemas.openxmlformats.org/officeDocument/2006/relationships/hyperlink" Target="https://www.apta.org/news/2021/02/26/mips-euc-reopen-feb-2021?fbclid=IwAR3XPqK0HA9cPlroFu2dnD2uq9FknC8kZXsIyV2p5BZIvoH0MtEoodrkWT4" TargetMode="External"/><Relationship Id="rId22" Type="http://schemas.openxmlformats.org/officeDocument/2006/relationships/hyperlink" Target="file:///C:\Users\vahet\ALP-Org.Mgmt%20Dropbox\Clients\Indiana%20Chapter\Committees\Practice%20&amp;%20Payment\Feb.%202021%20Commercial%20Payer%20Telehealth%20or%20E-Visits%20Coverage%20.pdf" TargetMode="External"/><Relationship Id="rId27" Type="http://schemas.openxmlformats.org/officeDocument/2006/relationships/hyperlink" Target="https://www.uhcprovider.com/content/dam/provider/docs/public/policies/index/oxford/outpatient-rehabilitation-therapy-services-ohp-06012021.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Callan</dc:creator>
  <cp:lastModifiedBy>Suzie Callan</cp:lastModifiedBy>
  <cp:revision>2</cp:revision>
  <dcterms:created xsi:type="dcterms:W3CDTF">2021-03-29T16:30:00Z</dcterms:created>
  <dcterms:modified xsi:type="dcterms:W3CDTF">2021-03-29T16:30:00Z</dcterms:modified>
</cp:coreProperties>
</file>