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BA" w:rsidRDefault="00F92CEE" w:rsidP="008177BA">
      <w:pPr>
        <w:ind w:right="0"/>
        <w:jc w:val="center"/>
        <w:rPr>
          <w:rFonts w:eastAsia="Calibri" w:cs="Times New Roman"/>
          <w:b/>
          <w:bCs/>
          <w:spacing w:val="-1"/>
        </w:rPr>
      </w:pPr>
      <w:r>
        <w:rPr>
          <w:rFonts w:eastAsia="Calibri" w:cs="Times New Roman"/>
          <w:b/>
          <w:bCs/>
          <w:noProof/>
          <w:spacing w:val="-1"/>
        </w:rPr>
        <w:drawing>
          <wp:inline distT="0" distB="0" distL="0" distR="0">
            <wp:extent cx="430938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INAPTA-logo.png"/>
                    <pic:cNvPicPr/>
                  </pic:nvPicPr>
                  <pic:blipFill>
                    <a:blip r:embed="rId8">
                      <a:extLst>
                        <a:ext uri="{28A0092B-C50C-407E-A947-70E740481C1C}">
                          <a14:useLocalDpi xmlns:a14="http://schemas.microsoft.com/office/drawing/2010/main" val="0"/>
                        </a:ext>
                      </a:extLst>
                    </a:blip>
                    <a:stretch>
                      <a:fillRect/>
                    </a:stretch>
                  </pic:blipFill>
                  <pic:spPr>
                    <a:xfrm>
                      <a:off x="0" y="0"/>
                      <a:ext cx="4319134" cy="1241051"/>
                    </a:xfrm>
                    <a:prstGeom prst="rect">
                      <a:avLst/>
                    </a:prstGeom>
                  </pic:spPr>
                </pic:pic>
              </a:graphicData>
            </a:graphic>
          </wp:inline>
        </w:drawing>
      </w:r>
    </w:p>
    <w:p w:rsidR="008177BA" w:rsidRDefault="008177BA" w:rsidP="008177BA">
      <w:pPr>
        <w:ind w:right="0"/>
        <w:jc w:val="center"/>
        <w:rPr>
          <w:rFonts w:eastAsia="Calibri" w:cs="Times New Roman"/>
          <w:b/>
          <w:bCs/>
          <w:spacing w:val="-1"/>
        </w:rPr>
      </w:pPr>
    </w:p>
    <w:p w:rsidR="008177BA" w:rsidRPr="00F92CEE" w:rsidRDefault="008177BA" w:rsidP="008177BA">
      <w:pPr>
        <w:ind w:right="0"/>
        <w:jc w:val="center"/>
        <w:rPr>
          <w:rFonts w:eastAsia="Calibri" w:cs="Times New Roman"/>
          <w:b/>
          <w:bCs/>
          <w:spacing w:val="-1"/>
          <w:sz w:val="28"/>
          <w:szCs w:val="28"/>
        </w:rPr>
      </w:pPr>
      <w:r w:rsidRPr="00F92CEE">
        <w:rPr>
          <w:rFonts w:eastAsia="Calibri" w:cs="Times New Roman"/>
          <w:b/>
          <w:bCs/>
          <w:spacing w:val="-1"/>
          <w:sz w:val="28"/>
          <w:szCs w:val="28"/>
        </w:rPr>
        <w:t xml:space="preserve">INAPTA </w:t>
      </w:r>
      <w:r w:rsidR="00F92CEE" w:rsidRPr="00F92CEE">
        <w:rPr>
          <w:rFonts w:eastAsia="Calibri" w:cs="Times New Roman"/>
          <w:b/>
          <w:bCs/>
          <w:spacing w:val="-1"/>
          <w:sz w:val="28"/>
          <w:szCs w:val="28"/>
        </w:rPr>
        <w:t>ANNUAL REPORT</w:t>
      </w:r>
    </w:p>
    <w:p w:rsidR="00F92CEE" w:rsidRDefault="00F92CEE" w:rsidP="008177BA">
      <w:pPr>
        <w:ind w:right="0"/>
        <w:jc w:val="center"/>
        <w:rPr>
          <w:rFonts w:eastAsia="Calibri" w:cs="Times New Roman"/>
          <w:b/>
          <w:bCs/>
          <w:spacing w:val="-1"/>
        </w:rPr>
      </w:pPr>
    </w:p>
    <w:p w:rsidR="00F92CEE" w:rsidRDefault="00567783" w:rsidP="008177BA">
      <w:pPr>
        <w:ind w:right="0"/>
        <w:jc w:val="center"/>
        <w:rPr>
          <w:rFonts w:eastAsia="Calibri" w:cs="Times New Roman"/>
          <w:b/>
          <w:bCs/>
          <w:spacing w:val="-1"/>
        </w:rPr>
      </w:pPr>
      <w:r>
        <w:rPr>
          <w:rFonts w:eastAsia="Calibri" w:cs="Times New Roman"/>
          <w:b/>
          <w:bCs/>
          <w:spacing w:val="-1"/>
        </w:rPr>
        <w:t xml:space="preserve">Legislative Committee </w:t>
      </w:r>
    </w:p>
    <w:p w:rsidR="00F92CEE" w:rsidRDefault="00F92CEE" w:rsidP="008177BA">
      <w:pPr>
        <w:ind w:right="0"/>
        <w:jc w:val="center"/>
        <w:rPr>
          <w:rFonts w:eastAsia="Calibri" w:cs="Times New Roman"/>
          <w:b/>
          <w:bCs/>
          <w:spacing w:val="-1"/>
        </w:rPr>
      </w:pPr>
    </w:p>
    <w:p w:rsidR="00F92CEE" w:rsidRDefault="00567783" w:rsidP="008177BA">
      <w:pPr>
        <w:ind w:right="0"/>
        <w:jc w:val="center"/>
        <w:rPr>
          <w:rFonts w:eastAsia="Calibri" w:cs="Times New Roman"/>
          <w:b/>
          <w:bCs/>
          <w:spacing w:val="-1"/>
        </w:rPr>
      </w:pPr>
      <w:r>
        <w:rPr>
          <w:rFonts w:eastAsia="Calibri" w:cs="Times New Roman"/>
          <w:b/>
          <w:bCs/>
          <w:spacing w:val="-1"/>
        </w:rPr>
        <w:t>Pauline Flesch</w:t>
      </w:r>
    </w:p>
    <w:p w:rsidR="008177BA" w:rsidRDefault="008177BA" w:rsidP="00E85724">
      <w:pPr>
        <w:ind w:right="0"/>
        <w:rPr>
          <w:rFonts w:eastAsia="Calibri" w:cs="Times New Roman"/>
          <w:b/>
          <w:bCs/>
          <w:spacing w:val="-1"/>
        </w:rPr>
      </w:pPr>
    </w:p>
    <w:p w:rsidR="00E10F73" w:rsidRPr="00E85724" w:rsidRDefault="00E10F73" w:rsidP="004F7153">
      <w:pPr>
        <w:tabs>
          <w:tab w:val="left" w:pos="7060"/>
          <w:tab w:val="left" w:pos="9500"/>
        </w:tabs>
        <w:ind w:right="-50"/>
        <w:rPr>
          <w:rFonts w:eastAsia="Calibri" w:cs="Times New Roman"/>
        </w:rPr>
      </w:pPr>
    </w:p>
    <w:tbl>
      <w:tblPr>
        <w:tblStyle w:val="TableGrid"/>
        <w:tblW w:w="0" w:type="auto"/>
        <w:tblInd w:w="220" w:type="dxa"/>
        <w:tblLook w:val="04A0" w:firstRow="1" w:lastRow="0" w:firstColumn="1" w:lastColumn="0" w:noHBand="0" w:noVBand="1"/>
      </w:tblPr>
      <w:tblGrid>
        <w:gridCol w:w="9875"/>
      </w:tblGrid>
      <w:tr w:rsidR="00E10F73" w:rsidRPr="008177BA" w:rsidTr="00042BB6">
        <w:trPr>
          <w:trHeight w:val="236"/>
        </w:trPr>
        <w:tc>
          <w:tcPr>
            <w:tcW w:w="9875" w:type="dxa"/>
            <w:shd w:val="clear" w:color="auto" w:fill="EEECE1" w:themeFill="background2"/>
          </w:tcPr>
          <w:p w:rsidR="00E10F73" w:rsidRPr="008177BA" w:rsidRDefault="002C3C5F" w:rsidP="008177BA">
            <w:pPr>
              <w:tabs>
                <w:tab w:val="left" w:pos="7060"/>
                <w:tab w:val="left" w:pos="9500"/>
              </w:tabs>
              <w:jc w:val="center"/>
              <w:rPr>
                <w:rFonts w:eastAsia="Calibri" w:cs="Times New Roman"/>
                <w:b/>
              </w:rPr>
            </w:pPr>
            <w:r>
              <w:rPr>
                <w:rFonts w:eastAsia="Calibri" w:cs="Times New Roman"/>
                <w:b/>
              </w:rPr>
              <w:t>HIGHLIGHTS FROM 2018</w:t>
            </w:r>
          </w:p>
        </w:tc>
      </w:tr>
      <w:tr w:rsidR="00F92CEE" w:rsidRPr="00E85724" w:rsidTr="00042BB6">
        <w:trPr>
          <w:trHeight w:val="223"/>
        </w:trPr>
        <w:tc>
          <w:tcPr>
            <w:tcW w:w="9875" w:type="dxa"/>
          </w:tcPr>
          <w:p w:rsidR="00F92CEE" w:rsidRPr="00E85724" w:rsidRDefault="002C3C5F" w:rsidP="004F7153">
            <w:pPr>
              <w:tabs>
                <w:tab w:val="left" w:pos="7060"/>
                <w:tab w:val="left" w:pos="9500"/>
              </w:tabs>
              <w:ind w:right="-50"/>
              <w:rPr>
                <w:rFonts w:eastAsia="Calibri" w:cs="Times New Roman"/>
              </w:rPr>
            </w:pPr>
            <w:r>
              <w:rPr>
                <w:rFonts w:eastAsia="Calibri" w:cs="Times New Roman"/>
              </w:rPr>
              <w:t>Initiated meetings at the end of 2017 to draft revised practice act for introduction in 2019</w:t>
            </w:r>
          </w:p>
        </w:tc>
      </w:tr>
      <w:tr w:rsidR="00F92CEE" w:rsidRPr="00E85724" w:rsidTr="00042BB6">
        <w:trPr>
          <w:trHeight w:val="708"/>
        </w:trPr>
        <w:tc>
          <w:tcPr>
            <w:tcW w:w="9875" w:type="dxa"/>
          </w:tcPr>
          <w:p w:rsidR="00F92CEE" w:rsidRPr="00E85724" w:rsidRDefault="002C3C5F" w:rsidP="004F7153">
            <w:pPr>
              <w:tabs>
                <w:tab w:val="left" w:pos="7060"/>
                <w:tab w:val="left" w:pos="9500"/>
              </w:tabs>
              <w:ind w:right="-50"/>
              <w:rPr>
                <w:rFonts w:eastAsia="Calibri" w:cs="Times New Roman"/>
              </w:rPr>
            </w:pPr>
            <w:r>
              <w:rPr>
                <w:rFonts w:eastAsia="Calibri" w:cs="Times New Roman"/>
              </w:rPr>
              <w:t xml:space="preserve">Successfully negotiated with chiropractors, reaching an agreement related to dry needling; we did not oppose language in their 2018 bill adding dry needling to chiropractors scope and they will not oppose our proposed language to do the same in 2019. </w:t>
            </w:r>
          </w:p>
        </w:tc>
      </w:tr>
      <w:tr w:rsidR="00F92CEE" w:rsidRPr="00E85724" w:rsidTr="00042BB6">
        <w:trPr>
          <w:trHeight w:val="223"/>
        </w:trPr>
        <w:tc>
          <w:tcPr>
            <w:tcW w:w="9875" w:type="dxa"/>
          </w:tcPr>
          <w:p w:rsidR="00F92CEE" w:rsidRPr="00E85724" w:rsidRDefault="002C3C5F" w:rsidP="004F7153">
            <w:pPr>
              <w:tabs>
                <w:tab w:val="left" w:pos="7060"/>
                <w:tab w:val="left" w:pos="9500"/>
              </w:tabs>
              <w:ind w:right="-50"/>
              <w:rPr>
                <w:rFonts w:eastAsia="Calibri" w:cs="Times New Roman"/>
              </w:rPr>
            </w:pPr>
            <w:r>
              <w:rPr>
                <w:rFonts w:eastAsia="Calibri" w:cs="Times New Roman"/>
              </w:rPr>
              <w:t xml:space="preserve">Supported the Public Relations committee with PT Day at the Statehouse in January 2018 </w:t>
            </w:r>
          </w:p>
        </w:tc>
      </w:tr>
      <w:tr w:rsidR="00F92CEE" w:rsidRPr="00E85724" w:rsidTr="00042BB6">
        <w:trPr>
          <w:trHeight w:val="708"/>
        </w:trPr>
        <w:tc>
          <w:tcPr>
            <w:tcW w:w="9875" w:type="dxa"/>
          </w:tcPr>
          <w:p w:rsidR="00F92CEE" w:rsidRPr="00E85724" w:rsidRDefault="002C3C5F" w:rsidP="004F7153">
            <w:pPr>
              <w:tabs>
                <w:tab w:val="left" w:pos="7060"/>
                <w:tab w:val="left" w:pos="9500"/>
              </w:tabs>
              <w:ind w:right="-50"/>
              <w:rPr>
                <w:rFonts w:eastAsia="Calibri" w:cs="Times New Roman"/>
              </w:rPr>
            </w:pPr>
            <w:r>
              <w:rPr>
                <w:rFonts w:eastAsia="Calibri" w:cs="Times New Roman"/>
              </w:rPr>
              <w:t>Completed proposed language f</w:t>
            </w:r>
            <w:r w:rsidR="00D40ED8">
              <w:rPr>
                <w:rFonts w:eastAsia="Calibri" w:cs="Times New Roman"/>
              </w:rPr>
              <w:t>or revision of practice act which closely follows</w:t>
            </w:r>
            <w:r>
              <w:rPr>
                <w:rFonts w:eastAsia="Calibri" w:cs="Times New Roman"/>
              </w:rPr>
              <w:t xml:space="preserve"> FSBPT model practice act</w:t>
            </w:r>
            <w:r w:rsidR="00D40ED8">
              <w:rPr>
                <w:rFonts w:eastAsia="Calibri" w:cs="Times New Roman"/>
              </w:rPr>
              <w:t xml:space="preserve"> language</w:t>
            </w:r>
            <w:r>
              <w:rPr>
                <w:rFonts w:eastAsia="Calibri" w:cs="Times New Roman"/>
              </w:rPr>
              <w:t>; with input from APTA, the INAPTA Board of Directors, and exceptional dedication by the le</w:t>
            </w:r>
            <w:r w:rsidR="00D40ED8">
              <w:rPr>
                <w:rFonts w:eastAsia="Calibri" w:cs="Times New Roman"/>
              </w:rPr>
              <w:t xml:space="preserve">gislative committee to review language in detail a nearly finalized draft is prepared.  </w:t>
            </w:r>
            <w:r>
              <w:rPr>
                <w:rFonts w:eastAsia="Calibri" w:cs="Times New Roman"/>
              </w:rPr>
              <w:t xml:space="preserve">  </w:t>
            </w:r>
          </w:p>
        </w:tc>
      </w:tr>
      <w:tr w:rsidR="00F92CEE" w:rsidRPr="00E85724" w:rsidTr="00042BB6">
        <w:trPr>
          <w:trHeight w:val="695"/>
        </w:trPr>
        <w:tc>
          <w:tcPr>
            <w:tcW w:w="9875" w:type="dxa"/>
          </w:tcPr>
          <w:p w:rsidR="00F92CEE" w:rsidRPr="00E85724" w:rsidRDefault="00D40ED8" w:rsidP="004F7153">
            <w:pPr>
              <w:tabs>
                <w:tab w:val="left" w:pos="7060"/>
                <w:tab w:val="left" w:pos="9500"/>
              </w:tabs>
              <w:ind w:right="-50"/>
              <w:rPr>
                <w:rFonts w:eastAsia="Calibri" w:cs="Times New Roman"/>
              </w:rPr>
            </w:pPr>
            <w:r>
              <w:rPr>
                <w:rFonts w:eastAsia="Calibri" w:cs="Times New Roman"/>
              </w:rPr>
              <w:t xml:space="preserve">A special thanks to Mark Scherer who formatted the language consistent with Indiana legislative services practice act format.  And also special thanks to Steve Beebe for his consistent attendance and participation in the drafting process. </w:t>
            </w:r>
          </w:p>
        </w:tc>
      </w:tr>
      <w:tr w:rsidR="00F92CEE" w:rsidRPr="00E85724" w:rsidTr="00042BB6">
        <w:trPr>
          <w:trHeight w:val="236"/>
        </w:trPr>
        <w:tc>
          <w:tcPr>
            <w:tcW w:w="9875" w:type="dxa"/>
          </w:tcPr>
          <w:p w:rsidR="00F92CEE" w:rsidRPr="00E85724" w:rsidRDefault="00F92CEE" w:rsidP="004F7153">
            <w:pPr>
              <w:tabs>
                <w:tab w:val="left" w:pos="7060"/>
                <w:tab w:val="left" w:pos="9500"/>
              </w:tabs>
              <w:ind w:right="-50"/>
              <w:rPr>
                <w:rFonts w:eastAsia="Calibri" w:cs="Times New Roman"/>
              </w:rPr>
            </w:pPr>
          </w:p>
        </w:tc>
      </w:tr>
      <w:tr w:rsidR="00F92CEE" w:rsidRPr="00E85724" w:rsidTr="00042BB6">
        <w:trPr>
          <w:trHeight w:val="223"/>
        </w:trPr>
        <w:tc>
          <w:tcPr>
            <w:tcW w:w="9875" w:type="dxa"/>
          </w:tcPr>
          <w:p w:rsidR="00F92CEE" w:rsidRPr="00E85724" w:rsidRDefault="00F92CEE" w:rsidP="004F7153">
            <w:pPr>
              <w:tabs>
                <w:tab w:val="left" w:pos="7060"/>
                <w:tab w:val="left" w:pos="9500"/>
              </w:tabs>
              <w:ind w:right="-50"/>
              <w:rPr>
                <w:rFonts w:eastAsia="Calibri" w:cs="Times New Roman"/>
              </w:rPr>
            </w:pPr>
          </w:p>
        </w:tc>
      </w:tr>
    </w:tbl>
    <w:p w:rsidR="00E10F73" w:rsidRDefault="00E10F73" w:rsidP="00252C34">
      <w:pPr>
        <w:tabs>
          <w:tab w:val="left" w:pos="6120"/>
        </w:tabs>
        <w:rPr>
          <w:rFonts w:eastAsia="Calibri" w:cs="Times New Roman"/>
        </w:rPr>
      </w:pPr>
    </w:p>
    <w:p w:rsidR="00F92CEE" w:rsidRPr="008177BA" w:rsidRDefault="008177BA" w:rsidP="008177BA">
      <w:pPr>
        <w:tabs>
          <w:tab w:val="left" w:pos="1380"/>
        </w:tabs>
      </w:pPr>
      <w:r>
        <w:tab/>
      </w:r>
    </w:p>
    <w:tbl>
      <w:tblPr>
        <w:tblStyle w:val="TableGrid"/>
        <w:tblW w:w="0" w:type="auto"/>
        <w:tblInd w:w="220" w:type="dxa"/>
        <w:tblLook w:val="04A0" w:firstRow="1" w:lastRow="0" w:firstColumn="1" w:lastColumn="0" w:noHBand="0" w:noVBand="1"/>
      </w:tblPr>
      <w:tblGrid>
        <w:gridCol w:w="9800"/>
      </w:tblGrid>
      <w:tr w:rsidR="00F92CEE" w:rsidRPr="008177BA" w:rsidTr="00711F04">
        <w:tc>
          <w:tcPr>
            <w:tcW w:w="9800" w:type="dxa"/>
            <w:shd w:val="clear" w:color="auto" w:fill="EEECE1" w:themeFill="background2"/>
          </w:tcPr>
          <w:p w:rsidR="00F92CEE" w:rsidRPr="008177BA" w:rsidRDefault="00F92CEE" w:rsidP="00711F04">
            <w:pPr>
              <w:tabs>
                <w:tab w:val="left" w:pos="7060"/>
                <w:tab w:val="left" w:pos="9500"/>
              </w:tabs>
              <w:jc w:val="center"/>
              <w:rPr>
                <w:rFonts w:eastAsia="Calibri" w:cs="Times New Roman"/>
                <w:b/>
              </w:rPr>
            </w:pPr>
            <w:r>
              <w:rPr>
                <w:rFonts w:eastAsia="Calibri" w:cs="Times New Roman"/>
                <w:b/>
              </w:rPr>
              <w:t>P</w:t>
            </w:r>
            <w:r w:rsidR="002C3C5F">
              <w:rPr>
                <w:rFonts w:eastAsia="Calibri" w:cs="Times New Roman"/>
                <w:b/>
              </w:rPr>
              <w:t>ROJECTIONS FOR REMAINDER OF 2018 AND 2019</w:t>
            </w:r>
          </w:p>
        </w:tc>
      </w:tr>
      <w:tr w:rsidR="00F92CEE" w:rsidRPr="00E85724" w:rsidTr="00711F04">
        <w:tc>
          <w:tcPr>
            <w:tcW w:w="9800" w:type="dxa"/>
          </w:tcPr>
          <w:p w:rsidR="00D40ED8" w:rsidRPr="00E85724" w:rsidRDefault="00D40ED8" w:rsidP="00711F04">
            <w:pPr>
              <w:tabs>
                <w:tab w:val="left" w:pos="7060"/>
                <w:tab w:val="left" w:pos="9500"/>
              </w:tabs>
              <w:ind w:right="-50"/>
              <w:rPr>
                <w:rFonts w:eastAsia="Calibri" w:cs="Times New Roman"/>
              </w:rPr>
            </w:pPr>
            <w:r>
              <w:rPr>
                <w:rFonts w:eastAsia="Calibri" w:cs="Times New Roman"/>
              </w:rPr>
              <w:t xml:space="preserve">Finishing touches and final tweaks are being made to the practice act language. </w:t>
            </w:r>
          </w:p>
        </w:tc>
      </w:tr>
      <w:tr w:rsidR="00F92CEE" w:rsidRPr="00E85724" w:rsidTr="00711F04">
        <w:tc>
          <w:tcPr>
            <w:tcW w:w="9800" w:type="dxa"/>
          </w:tcPr>
          <w:p w:rsidR="00F92CEE" w:rsidRPr="00E85724" w:rsidRDefault="00D40ED8" w:rsidP="00711F04">
            <w:pPr>
              <w:tabs>
                <w:tab w:val="left" w:pos="7060"/>
                <w:tab w:val="left" w:pos="9500"/>
              </w:tabs>
              <w:ind w:right="-50"/>
              <w:rPr>
                <w:rFonts w:eastAsia="Calibri" w:cs="Times New Roman"/>
              </w:rPr>
            </w:pPr>
            <w:r>
              <w:rPr>
                <w:rFonts w:eastAsia="Calibri" w:cs="Times New Roman"/>
              </w:rPr>
              <w:t xml:space="preserve">A communication strategy is being outlined for stakeholders, legislators and sponsors. </w:t>
            </w:r>
          </w:p>
        </w:tc>
      </w:tr>
      <w:tr w:rsidR="00F92CEE" w:rsidRPr="00E85724" w:rsidTr="00711F04">
        <w:tc>
          <w:tcPr>
            <w:tcW w:w="9800" w:type="dxa"/>
          </w:tcPr>
          <w:p w:rsidR="00F92CEE" w:rsidRPr="00E85724" w:rsidRDefault="00042BB6" w:rsidP="00711F04">
            <w:pPr>
              <w:tabs>
                <w:tab w:val="left" w:pos="7060"/>
                <w:tab w:val="left" w:pos="9500"/>
              </w:tabs>
              <w:ind w:right="-50"/>
              <w:rPr>
                <w:rFonts w:eastAsia="Calibri" w:cs="Times New Roman"/>
              </w:rPr>
            </w:pPr>
            <w:r>
              <w:rPr>
                <w:rFonts w:eastAsia="Calibri" w:cs="Times New Roman"/>
              </w:rPr>
              <w:t xml:space="preserve">Discussions to vet new language will begin in fall with legislators.  </w:t>
            </w:r>
          </w:p>
        </w:tc>
      </w:tr>
      <w:tr w:rsidR="00F92CEE" w:rsidRPr="00E85724" w:rsidTr="00711F04">
        <w:tc>
          <w:tcPr>
            <w:tcW w:w="9800" w:type="dxa"/>
          </w:tcPr>
          <w:p w:rsidR="00F92CEE" w:rsidRPr="00E85724" w:rsidRDefault="00042BB6" w:rsidP="00711F04">
            <w:pPr>
              <w:tabs>
                <w:tab w:val="left" w:pos="7060"/>
                <w:tab w:val="left" w:pos="9500"/>
              </w:tabs>
              <w:ind w:right="-50"/>
              <w:rPr>
                <w:rFonts w:eastAsia="Calibri" w:cs="Times New Roman"/>
              </w:rPr>
            </w:pPr>
            <w:r>
              <w:rPr>
                <w:rFonts w:eastAsia="Calibri" w:cs="Times New Roman"/>
              </w:rPr>
              <w:t>January 2019 – introduce bill to update practice act</w:t>
            </w:r>
          </w:p>
        </w:tc>
      </w:tr>
      <w:tr w:rsidR="00F92CEE" w:rsidRPr="00E85724" w:rsidTr="00711F04">
        <w:tc>
          <w:tcPr>
            <w:tcW w:w="9800" w:type="dxa"/>
          </w:tcPr>
          <w:p w:rsidR="00F92CEE" w:rsidRDefault="00042BB6" w:rsidP="00711F04">
            <w:pPr>
              <w:tabs>
                <w:tab w:val="left" w:pos="7060"/>
                <w:tab w:val="left" w:pos="9500"/>
              </w:tabs>
              <w:ind w:right="-50"/>
              <w:rPr>
                <w:rFonts w:eastAsia="Calibri" w:cs="Times New Roman"/>
              </w:rPr>
            </w:pPr>
            <w:r>
              <w:rPr>
                <w:rFonts w:eastAsia="Calibri" w:cs="Times New Roman"/>
              </w:rPr>
              <w:t>Key Points in new practice act language:</w:t>
            </w:r>
          </w:p>
          <w:p w:rsidR="00042BB6" w:rsidRPr="00042BB6" w:rsidRDefault="00042BB6" w:rsidP="00042BB6">
            <w:pPr>
              <w:pStyle w:val="ListParagraph"/>
              <w:numPr>
                <w:ilvl w:val="0"/>
                <w:numId w:val="3"/>
              </w:numPr>
              <w:spacing w:after="160"/>
              <w:rPr>
                <w:rFonts w:asciiTheme="minorHAnsi" w:hAnsiTheme="minorHAnsi"/>
                <w:sz w:val="22"/>
                <w:szCs w:val="22"/>
              </w:rPr>
            </w:pPr>
            <w:r w:rsidRPr="00042BB6">
              <w:rPr>
                <w:rFonts w:asciiTheme="minorHAnsi" w:hAnsiTheme="minorHAnsi"/>
                <w:sz w:val="22"/>
                <w:szCs w:val="22"/>
              </w:rPr>
              <w:t>Clarifies that “dry needling” is within the scope of physical ther</w:t>
            </w:r>
            <w:r>
              <w:rPr>
                <w:rFonts w:asciiTheme="minorHAnsi" w:hAnsiTheme="minorHAnsi"/>
                <w:sz w:val="22"/>
                <w:szCs w:val="22"/>
              </w:rPr>
              <w:t>apy practice</w:t>
            </w:r>
            <w:r w:rsidRPr="00042BB6">
              <w:rPr>
                <w:rFonts w:asciiTheme="minorHAnsi" w:hAnsiTheme="minorHAnsi"/>
                <w:sz w:val="22"/>
                <w:szCs w:val="22"/>
              </w:rPr>
              <w:t xml:space="preserve">  </w:t>
            </w:r>
          </w:p>
          <w:p w:rsidR="00042BB6" w:rsidRPr="00042BB6" w:rsidRDefault="00042BB6" w:rsidP="00042BB6">
            <w:pPr>
              <w:pStyle w:val="ListParagraph"/>
              <w:numPr>
                <w:ilvl w:val="0"/>
                <w:numId w:val="3"/>
              </w:numPr>
              <w:spacing w:after="160"/>
              <w:rPr>
                <w:rFonts w:asciiTheme="minorHAnsi" w:hAnsiTheme="minorHAnsi"/>
                <w:sz w:val="22"/>
                <w:szCs w:val="22"/>
              </w:rPr>
            </w:pPr>
            <w:r w:rsidRPr="00042BB6">
              <w:rPr>
                <w:rFonts w:asciiTheme="minorHAnsi" w:hAnsiTheme="minorHAnsi"/>
                <w:sz w:val="22"/>
                <w:szCs w:val="22"/>
              </w:rPr>
              <w:t>C</w:t>
            </w:r>
            <w:r>
              <w:rPr>
                <w:rFonts w:asciiTheme="minorHAnsi" w:hAnsiTheme="minorHAnsi"/>
                <w:sz w:val="22"/>
                <w:szCs w:val="22"/>
              </w:rPr>
              <w:t xml:space="preserve">reates </w:t>
            </w:r>
            <w:r w:rsidRPr="00042BB6">
              <w:rPr>
                <w:rFonts w:asciiTheme="minorHAnsi" w:hAnsiTheme="minorHAnsi"/>
                <w:sz w:val="22"/>
                <w:szCs w:val="22"/>
              </w:rPr>
              <w:t xml:space="preserve"> 7-person </w:t>
            </w:r>
            <w:r w:rsidRPr="00042BB6">
              <w:rPr>
                <w:rFonts w:asciiTheme="minorHAnsi" w:hAnsiTheme="minorHAnsi"/>
                <w:sz w:val="22"/>
                <w:szCs w:val="22"/>
              </w:rPr>
              <w:t xml:space="preserve">independent </w:t>
            </w:r>
            <w:r w:rsidRPr="00042BB6">
              <w:rPr>
                <w:rFonts w:asciiTheme="minorHAnsi" w:hAnsiTheme="minorHAnsi"/>
                <w:sz w:val="22"/>
                <w:szCs w:val="22"/>
              </w:rPr>
              <w:t>Physical Therapy Board</w:t>
            </w:r>
            <w:r>
              <w:rPr>
                <w:rFonts w:asciiTheme="minorHAnsi" w:hAnsiTheme="minorHAnsi"/>
                <w:sz w:val="22"/>
                <w:szCs w:val="22"/>
              </w:rPr>
              <w:t xml:space="preserve"> to regulate the practice of PT</w:t>
            </w:r>
            <w:r w:rsidRPr="00042BB6">
              <w:rPr>
                <w:rFonts w:asciiTheme="minorHAnsi" w:hAnsiTheme="minorHAnsi"/>
                <w:sz w:val="22"/>
                <w:szCs w:val="22"/>
              </w:rPr>
              <w:t xml:space="preserve">  </w:t>
            </w:r>
          </w:p>
          <w:p w:rsidR="00042BB6" w:rsidRPr="00042BB6" w:rsidRDefault="00042BB6" w:rsidP="00042BB6">
            <w:pPr>
              <w:pStyle w:val="ListParagraph"/>
              <w:numPr>
                <w:ilvl w:val="0"/>
                <w:numId w:val="3"/>
              </w:numPr>
              <w:spacing w:after="160"/>
              <w:rPr>
                <w:rFonts w:asciiTheme="minorHAnsi" w:hAnsiTheme="minorHAnsi"/>
                <w:sz w:val="22"/>
                <w:szCs w:val="22"/>
              </w:rPr>
            </w:pPr>
            <w:r>
              <w:rPr>
                <w:rFonts w:asciiTheme="minorHAnsi" w:hAnsiTheme="minorHAnsi"/>
                <w:sz w:val="22"/>
                <w:szCs w:val="22"/>
              </w:rPr>
              <w:t>Adds a definition of physical therapy aide</w:t>
            </w:r>
            <w:r w:rsidRPr="00042BB6">
              <w:rPr>
                <w:rFonts w:asciiTheme="minorHAnsi" w:hAnsiTheme="minorHAnsi"/>
                <w:sz w:val="22"/>
                <w:szCs w:val="22"/>
              </w:rPr>
              <w:t xml:space="preserve"> </w:t>
            </w:r>
          </w:p>
          <w:p w:rsidR="00042BB6" w:rsidRPr="00042BB6" w:rsidRDefault="00042BB6" w:rsidP="00042BB6">
            <w:pPr>
              <w:pStyle w:val="ListParagraph"/>
              <w:numPr>
                <w:ilvl w:val="0"/>
                <w:numId w:val="3"/>
              </w:numPr>
              <w:spacing w:after="160"/>
              <w:rPr>
                <w:rFonts w:asciiTheme="minorHAnsi" w:hAnsiTheme="minorHAnsi"/>
                <w:sz w:val="22"/>
                <w:szCs w:val="22"/>
              </w:rPr>
            </w:pPr>
            <w:r w:rsidRPr="00042BB6">
              <w:rPr>
                <w:rFonts w:asciiTheme="minorHAnsi" w:hAnsiTheme="minorHAnsi"/>
                <w:sz w:val="22"/>
                <w:szCs w:val="22"/>
              </w:rPr>
              <w:t xml:space="preserve">Provides </w:t>
            </w:r>
            <w:r>
              <w:rPr>
                <w:rFonts w:asciiTheme="minorHAnsi" w:hAnsiTheme="minorHAnsi"/>
                <w:sz w:val="22"/>
                <w:szCs w:val="22"/>
              </w:rPr>
              <w:t>title protection</w:t>
            </w:r>
            <w:r w:rsidRPr="00042BB6">
              <w:rPr>
                <w:rFonts w:asciiTheme="minorHAnsi" w:hAnsiTheme="minorHAnsi"/>
                <w:sz w:val="22"/>
                <w:szCs w:val="22"/>
              </w:rPr>
              <w:t xml:space="preserve">  </w:t>
            </w:r>
          </w:p>
          <w:p w:rsidR="00042BB6" w:rsidRDefault="00042BB6" w:rsidP="00042BB6">
            <w:pPr>
              <w:pStyle w:val="ListParagraph"/>
              <w:numPr>
                <w:ilvl w:val="0"/>
                <w:numId w:val="3"/>
              </w:numPr>
              <w:spacing w:after="160"/>
              <w:rPr>
                <w:rFonts w:asciiTheme="minorHAnsi" w:hAnsiTheme="minorHAnsi"/>
                <w:sz w:val="22"/>
                <w:szCs w:val="22"/>
              </w:rPr>
            </w:pPr>
            <w:r w:rsidRPr="00042BB6">
              <w:rPr>
                <w:rFonts w:asciiTheme="minorHAnsi" w:hAnsiTheme="minorHAnsi"/>
                <w:sz w:val="22"/>
                <w:szCs w:val="22"/>
              </w:rPr>
              <w:t>Ex</w:t>
            </w:r>
            <w:r w:rsidRPr="00042BB6">
              <w:rPr>
                <w:rFonts w:asciiTheme="minorHAnsi" w:hAnsiTheme="minorHAnsi"/>
                <w:sz w:val="22"/>
                <w:szCs w:val="22"/>
              </w:rPr>
              <w:t>pands direct access from 24 to 9</w:t>
            </w:r>
            <w:r w:rsidRPr="00042BB6">
              <w:rPr>
                <w:rFonts w:asciiTheme="minorHAnsi" w:hAnsiTheme="minorHAnsi"/>
                <w:sz w:val="22"/>
                <w:szCs w:val="22"/>
              </w:rPr>
              <w:t>0 days.</w:t>
            </w:r>
          </w:p>
          <w:p w:rsidR="00042BB6" w:rsidRPr="00042BB6" w:rsidRDefault="00042BB6" w:rsidP="00042BB6">
            <w:pPr>
              <w:pStyle w:val="ListParagraph"/>
              <w:numPr>
                <w:ilvl w:val="0"/>
                <w:numId w:val="3"/>
              </w:numPr>
              <w:spacing w:after="160"/>
            </w:pPr>
            <w:r w:rsidRPr="00042BB6">
              <w:rPr>
                <w:rFonts w:asciiTheme="minorHAnsi" w:hAnsiTheme="minorHAnsi"/>
                <w:sz w:val="22"/>
                <w:szCs w:val="22"/>
              </w:rPr>
              <w:t>Adds a definition of “consultation by telemedicine</w:t>
            </w:r>
            <w:r>
              <w:t>”.</w:t>
            </w:r>
          </w:p>
          <w:p w:rsidR="00042BB6" w:rsidRPr="00042BB6" w:rsidRDefault="00042BB6" w:rsidP="00042BB6">
            <w:pPr>
              <w:pStyle w:val="ListParagraph"/>
              <w:numPr>
                <w:ilvl w:val="0"/>
                <w:numId w:val="3"/>
              </w:numPr>
              <w:spacing w:after="160"/>
              <w:rPr>
                <w:rFonts w:asciiTheme="minorHAnsi" w:hAnsiTheme="minorHAnsi"/>
                <w:sz w:val="22"/>
                <w:szCs w:val="22"/>
              </w:rPr>
            </w:pPr>
            <w:r w:rsidRPr="00042BB6">
              <w:rPr>
                <w:rFonts w:asciiTheme="minorHAnsi" w:hAnsiTheme="minorHAnsi"/>
                <w:sz w:val="22"/>
                <w:szCs w:val="22"/>
              </w:rPr>
              <w:t xml:space="preserve">Limits the number of times an individual can take the physical therapy licensure examination to six.  </w:t>
            </w:r>
          </w:p>
          <w:p w:rsidR="00042BB6" w:rsidRPr="00E85724" w:rsidRDefault="00042BB6" w:rsidP="00C57D54">
            <w:pPr>
              <w:pStyle w:val="ListParagraph"/>
              <w:tabs>
                <w:tab w:val="left" w:pos="1215"/>
              </w:tabs>
            </w:pPr>
            <w:r>
              <w:t xml:space="preserve"> </w:t>
            </w:r>
            <w:r>
              <w:tab/>
            </w:r>
            <w:bookmarkStart w:id="0" w:name="_GoBack"/>
            <w:bookmarkEnd w:id="0"/>
          </w:p>
        </w:tc>
      </w:tr>
      <w:tr w:rsidR="00F92CEE" w:rsidRPr="00E85724" w:rsidTr="00711F04">
        <w:tc>
          <w:tcPr>
            <w:tcW w:w="9800" w:type="dxa"/>
          </w:tcPr>
          <w:p w:rsidR="00F92CEE" w:rsidRPr="00C57D54" w:rsidRDefault="00C57D54" w:rsidP="00711F04">
            <w:pPr>
              <w:tabs>
                <w:tab w:val="left" w:pos="7060"/>
                <w:tab w:val="left" w:pos="9500"/>
              </w:tabs>
              <w:ind w:right="-50"/>
              <w:rPr>
                <w:rFonts w:eastAsia="Calibri" w:cs="Times New Roman"/>
              </w:rPr>
            </w:pPr>
            <w:r w:rsidRPr="00C57D54">
              <w:rPr>
                <w:rFonts w:eastAsia="Calibri" w:cs="Times New Roman"/>
              </w:rPr>
              <w:t>Special Thanks to Legislative Committee:</w:t>
            </w:r>
          </w:p>
          <w:p w:rsidR="00C57D54" w:rsidRPr="00C57D54" w:rsidRDefault="00C57D54" w:rsidP="00C57D54">
            <w:pPr>
              <w:rPr>
                <w:rFonts w:cs="Arial"/>
                <w:sz w:val="20"/>
                <w:szCs w:val="20"/>
              </w:rPr>
            </w:pPr>
            <w:r w:rsidRPr="00C57D54">
              <w:rPr>
                <w:rFonts w:cs="Arial"/>
                <w:sz w:val="20"/>
                <w:szCs w:val="20"/>
              </w:rPr>
              <w:t>Peter Altenburger</w:t>
            </w:r>
          </w:p>
          <w:p w:rsidR="00C57D54" w:rsidRPr="00C57D54" w:rsidRDefault="00C57D54" w:rsidP="00C57D54">
            <w:pPr>
              <w:rPr>
                <w:rFonts w:cs="Arial"/>
                <w:sz w:val="20"/>
                <w:szCs w:val="20"/>
              </w:rPr>
            </w:pPr>
            <w:r w:rsidRPr="00C57D54">
              <w:rPr>
                <w:rFonts w:cs="Arial"/>
                <w:sz w:val="20"/>
                <w:szCs w:val="20"/>
              </w:rPr>
              <w:t>Steve Beebe</w:t>
            </w:r>
          </w:p>
          <w:p w:rsidR="00C57D54" w:rsidRPr="00C57D54" w:rsidRDefault="00C57D54" w:rsidP="00C57D54">
            <w:pPr>
              <w:rPr>
                <w:rFonts w:cs="Arial"/>
                <w:sz w:val="20"/>
                <w:szCs w:val="20"/>
              </w:rPr>
            </w:pPr>
            <w:r w:rsidRPr="00C57D54">
              <w:rPr>
                <w:rFonts w:cs="Arial"/>
                <w:sz w:val="20"/>
                <w:szCs w:val="20"/>
              </w:rPr>
              <w:t>Deanna Hayes</w:t>
            </w:r>
          </w:p>
          <w:p w:rsidR="00C57D54" w:rsidRPr="00C57D54" w:rsidRDefault="00C57D54" w:rsidP="00C57D54">
            <w:pPr>
              <w:rPr>
                <w:rFonts w:cs="Arial"/>
                <w:sz w:val="20"/>
                <w:szCs w:val="20"/>
              </w:rPr>
            </w:pPr>
            <w:r w:rsidRPr="00C57D54">
              <w:rPr>
                <w:rFonts w:cs="Arial"/>
                <w:sz w:val="20"/>
                <w:szCs w:val="20"/>
              </w:rPr>
              <w:t>Stephanie Kelly</w:t>
            </w:r>
          </w:p>
          <w:p w:rsidR="00C57D54" w:rsidRPr="00C57D54" w:rsidRDefault="00C57D54" w:rsidP="00C57D54">
            <w:pPr>
              <w:rPr>
                <w:rFonts w:cs="Arial"/>
                <w:sz w:val="20"/>
                <w:szCs w:val="20"/>
              </w:rPr>
            </w:pPr>
            <w:r w:rsidRPr="00C57D54">
              <w:rPr>
                <w:rFonts w:cs="Arial"/>
                <w:sz w:val="20"/>
                <w:szCs w:val="20"/>
              </w:rPr>
              <w:t>Paul Lonnemann</w:t>
            </w:r>
          </w:p>
          <w:p w:rsidR="00C57D54" w:rsidRPr="00C57D54" w:rsidRDefault="00C57D54" w:rsidP="00C57D54">
            <w:pPr>
              <w:rPr>
                <w:rFonts w:cs="Arial"/>
                <w:sz w:val="20"/>
                <w:szCs w:val="20"/>
              </w:rPr>
            </w:pPr>
            <w:r w:rsidRPr="00C57D54">
              <w:rPr>
                <w:rFonts w:cs="Arial"/>
                <w:sz w:val="20"/>
                <w:szCs w:val="20"/>
              </w:rPr>
              <w:t>Emily Slaven</w:t>
            </w:r>
          </w:p>
        </w:tc>
      </w:tr>
    </w:tbl>
    <w:p w:rsidR="008177BA" w:rsidRPr="008177BA" w:rsidRDefault="008177BA" w:rsidP="008177BA">
      <w:pPr>
        <w:tabs>
          <w:tab w:val="left" w:pos="1380"/>
        </w:tabs>
      </w:pPr>
    </w:p>
    <w:sectPr w:rsidR="008177BA" w:rsidRPr="008177BA" w:rsidSect="004F7153">
      <w:type w:val="continuous"/>
      <w:pgSz w:w="12240" w:h="15840"/>
      <w:pgMar w:top="960" w:right="99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CD" w:rsidRDefault="00C864CD" w:rsidP="00A80DAA">
      <w:r>
        <w:separator/>
      </w:r>
    </w:p>
  </w:endnote>
  <w:endnote w:type="continuationSeparator" w:id="0">
    <w:p w:rsidR="00C864CD" w:rsidRDefault="00C864CD"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CD" w:rsidRDefault="00C864CD" w:rsidP="00A80DAA">
      <w:r>
        <w:separator/>
      </w:r>
    </w:p>
  </w:footnote>
  <w:footnote w:type="continuationSeparator" w:id="0">
    <w:p w:rsidR="00C864CD" w:rsidRDefault="00C864CD" w:rsidP="00A80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C9A7814"/>
    <w:multiLevelType w:val="hybridMultilevel"/>
    <w:tmpl w:val="E6FE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FF"/>
    <w:rsid w:val="00042BB6"/>
    <w:rsid w:val="00110205"/>
    <w:rsid w:val="00252C34"/>
    <w:rsid w:val="002C3C5F"/>
    <w:rsid w:val="00305151"/>
    <w:rsid w:val="003A7D99"/>
    <w:rsid w:val="004041F4"/>
    <w:rsid w:val="004F7153"/>
    <w:rsid w:val="0051061A"/>
    <w:rsid w:val="00567783"/>
    <w:rsid w:val="005D048F"/>
    <w:rsid w:val="005D7323"/>
    <w:rsid w:val="00723374"/>
    <w:rsid w:val="00793BF7"/>
    <w:rsid w:val="007B0EED"/>
    <w:rsid w:val="008177BA"/>
    <w:rsid w:val="00A06A46"/>
    <w:rsid w:val="00A80DAA"/>
    <w:rsid w:val="00BC29FF"/>
    <w:rsid w:val="00C57D54"/>
    <w:rsid w:val="00C84BA1"/>
    <w:rsid w:val="00C864CD"/>
    <w:rsid w:val="00D40ED8"/>
    <w:rsid w:val="00D62723"/>
    <w:rsid w:val="00DA0E29"/>
    <w:rsid w:val="00DF1754"/>
    <w:rsid w:val="00E06425"/>
    <w:rsid w:val="00E10F73"/>
    <w:rsid w:val="00E85724"/>
    <w:rsid w:val="00F92CEE"/>
    <w:rsid w:val="00F9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Flesch, Pauline</cp:lastModifiedBy>
  <cp:revision>4</cp:revision>
  <dcterms:created xsi:type="dcterms:W3CDTF">2018-09-07T16:49:00Z</dcterms:created>
  <dcterms:modified xsi:type="dcterms:W3CDTF">2018-09-07T20:24:00Z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